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42E91" w14:textId="77777777" w:rsidR="00966F80" w:rsidRPr="008925D4" w:rsidRDefault="008925D4" w:rsidP="008925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8925D4">
        <w:rPr>
          <w:rFonts w:ascii="Arial" w:eastAsia="Arial" w:hAnsi="Arial" w:cs="Arial"/>
          <w:b/>
          <w:noProof/>
          <w:color w:val="000000"/>
        </w:rPr>
        <w:drawing>
          <wp:inline distT="0" distB="0" distL="0" distR="0" wp14:anchorId="33CAA0A2" wp14:editId="7F8141A9">
            <wp:extent cx="3011805" cy="536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6B26C7" w14:textId="77777777" w:rsidR="008925D4" w:rsidRPr="008925D4" w:rsidRDefault="008925D4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5BB5951" w14:textId="54D71B2C" w:rsidR="00966F80" w:rsidRPr="008925D4" w:rsidRDefault="00542CA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Proposal to Amend the </w:t>
      </w:r>
      <w:r w:rsidR="008A2AEC">
        <w:rPr>
          <w:rFonts w:ascii="Arial" w:eastAsia="Arial" w:hAnsi="Arial" w:cs="Arial"/>
          <w:b/>
        </w:rPr>
        <w:t xml:space="preserve">Undergraduate </w:t>
      </w:r>
      <w:r>
        <w:rPr>
          <w:rFonts w:ascii="Arial" w:eastAsia="Arial" w:hAnsi="Arial" w:cs="Arial"/>
          <w:b/>
        </w:rPr>
        <w:t>Minor</w:t>
      </w:r>
      <w:r w:rsidR="008A2AEC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</w:rPr>
        <w:t xml:space="preserve"> Policy</w:t>
      </w:r>
    </w:p>
    <w:p w14:paraId="7F5E34AA" w14:textId="673C1AC6" w:rsidR="00966F80" w:rsidRPr="00542CAD" w:rsidRDefault="00542CAD">
      <w:pPr>
        <w:spacing w:after="0" w:line="240" w:lineRule="auto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Submitted by the Dept. of Nutritional Sciences, 4/</w:t>
      </w:r>
      <w:r w:rsidR="000074AA">
        <w:rPr>
          <w:rFonts w:ascii="Arial" w:eastAsia="Arial" w:hAnsi="Arial" w:cs="Arial"/>
          <w:i/>
        </w:rPr>
        <w:t>19</w:t>
      </w:r>
      <w:bookmarkStart w:id="0" w:name="_GoBack"/>
      <w:bookmarkEnd w:id="0"/>
      <w:r>
        <w:rPr>
          <w:rFonts w:ascii="Arial" w:eastAsia="Arial" w:hAnsi="Arial" w:cs="Arial"/>
          <w:i/>
        </w:rPr>
        <w:t>/19</w:t>
      </w:r>
    </w:p>
    <w:p w14:paraId="5C175F75" w14:textId="77777777" w:rsidR="00966F80" w:rsidRPr="008925D4" w:rsidRDefault="00966F80">
      <w:pPr>
        <w:spacing w:after="0" w:line="240" w:lineRule="auto"/>
        <w:rPr>
          <w:rFonts w:ascii="Arial" w:eastAsia="Arial" w:hAnsi="Arial" w:cs="Arial"/>
          <w:b/>
        </w:rPr>
      </w:pPr>
    </w:p>
    <w:p w14:paraId="26841436" w14:textId="77777777" w:rsidR="00057BA0" w:rsidRDefault="00057BA0" w:rsidP="00057BA0">
      <w:pPr>
        <w:spacing w:after="0" w:line="240" w:lineRule="auto"/>
        <w:rPr>
          <w:rFonts w:ascii="Arial" w:eastAsia="Arial" w:hAnsi="Arial" w:cs="Arial"/>
          <w:b/>
          <w:lang w:val="en"/>
        </w:rPr>
      </w:pPr>
    </w:p>
    <w:p w14:paraId="708983E9" w14:textId="2DC4649B" w:rsidR="00057BA0" w:rsidRPr="003D6847" w:rsidRDefault="008A2AEC" w:rsidP="00057BA0">
      <w:pPr>
        <w:spacing w:after="0" w:line="240" w:lineRule="auto"/>
        <w:rPr>
          <w:rFonts w:ascii="Arial" w:eastAsia="Arial" w:hAnsi="Arial" w:cs="Arial"/>
          <w:color w:val="FF0000"/>
          <w:lang w:val="en"/>
        </w:rPr>
      </w:pPr>
      <w:r>
        <w:rPr>
          <w:rFonts w:ascii="Arial" w:eastAsia="Arial" w:hAnsi="Arial" w:cs="Arial"/>
          <w:b/>
          <w:lang w:val="en"/>
        </w:rPr>
        <w:t xml:space="preserve">Proposed addition to </w:t>
      </w:r>
      <w:hyperlink r:id="rId8" w:history="1">
        <w:r w:rsidR="00057BA0" w:rsidRPr="00057BA0">
          <w:rPr>
            <w:rStyle w:val="Hyperlink"/>
            <w:rFonts w:ascii="Arial" w:eastAsia="Arial" w:hAnsi="Arial" w:cs="Arial"/>
            <w:b/>
            <w:lang w:val="en"/>
          </w:rPr>
          <w:t>Declaring or Changing a Minor</w:t>
        </w:r>
      </w:hyperlink>
      <w:r w:rsidR="003D6847">
        <w:rPr>
          <w:rFonts w:ascii="Arial" w:eastAsia="Arial" w:hAnsi="Arial" w:cs="Arial"/>
          <w:b/>
          <w:lang w:val="en"/>
        </w:rPr>
        <w:t xml:space="preserve"> </w:t>
      </w:r>
      <w:r w:rsidR="003D6847">
        <w:rPr>
          <w:rFonts w:ascii="Arial" w:eastAsia="Arial" w:hAnsi="Arial" w:cs="Arial"/>
          <w:color w:val="FF0000"/>
          <w:lang w:val="en"/>
        </w:rPr>
        <w:t>(amendment is in red font)</w:t>
      </w:r>
      <w:r>
        <w:rPr>
          <w:rFonts w:ascii="Arial" w:eastAsia="Arial" w:hAnsi="Arial" w:cs="Arial"/>
          <w:color w:val="FF0000"/>
          <w:lang w:val="en"/>
        </w:rPr>
        <w:t>:</w:t>
      </w:r>
    </w:p>
    <w:p w14:paraId="3DE2B6D5" w14:textId="77777777" w:rsidR="00057BA0" w:rsidRPr="00057BA0" w:rsidRDefault="00057BA0" w:rsidP="00057BA0">
      <w:pPr>
        <w:spacing w:after="0" w:line="240" w:lineRule="auto"/>
        <w:rPr>
          <w:rFonts w:ascii="Arial" w:eastAsia="Arial" w:hAnsi="Arial" w:cs="Arial"/>
          <w:b/>
          <w:lang w:val="en"/>
        </w:rPr>
      </w:pPr>
    </w:p>
    <w:p w14:paraId="669679C1" w14:textId="5E0865D9" w:rsidR="00057BA0" w:rsidRPr="008A2AEC" w:rsidRDefault="00057BA0" w:rsidP="008A2AEC">
      <w:pPr>
        <w:spacing w:after="0" w:line="240" w:lineRule="auto"/>
        <w:ind w:left="720"/>
        <w:rPr>
          <w:rFonts w:ascii="Arial" w:eastAsia="Arial" w:hAnsi="Arial" w:cs="Arial"/>
          <w:i/>
          <w:lang w:val="en"/>
        </w:rPr>
      </w:pPr>
      <w:r w:rsidRPr="008A2AEC">
        <w:rPr>
          <w:rFonts w:ascii="Arial" w:eastAsia="Arial" w:hAnsi="Arial" w:cs="Arial"/>
          <w:i/>
          <w:lang w:val="en"/>
        </w:rPr>
        <w:t xml:space="preserve">The procedure to declare a minor varies among colleges.  Students interested in adding a minor should consult with their </w:t>
      </w:r>
      <w:hyperlink r:id="rId9" w:tgtFrame="_blank" w:history="1">
        <w:r w:rsidRPr="008A2AEC">
          <w:rPr>
            <w:rStyle w:val="Hyperlink"/>
            <w:rFonts w:ascii="Arial" w:eastAsia="Arial" w:hAnsi="Arial" w:cs="Arial"/>
            <w:bCs/>
            <w:i/>
            <w:lang w:val="en"/>
          </w:rPr>
          <w:t>major advisor (link is external)</w:t>
        </w:r>
      </w:hyperlink>
      <w:r w:rsidRPr="008A2AEC">
        <w:rPr>
          <w:rFonts w:ascii="Arial" w:eastAsia="Arial" w:hAnsi="Arial" w:cs="Arial"/>
          <w:i/>
          <w:lang w:val="en"/>
        </w:rPr>
        <w:t xml:space="preserve"> regarding an appropriate choice of minor and the declaration procedure.  </w:t>
      </w:r>
      <w:r w:rsidR="006E5D82" w:rsidRPr="008A2AEC">
        <w:rPr>
          <w:rFonts w:ascii="Arial" w:eastAsia="Arial" w:hAnsi="Arial" w:cs="Arial"/>
          <w:i/>
          <w:color w:val="FF0000"/>
          <w:lang w:val="en"/>
        </w:rPr>
        <w:t xml:space="preserve">A minor may be </w:t>
      </w:r>
      <w:r w:rsidR="008A2AEC" w:rsidRPr="008A2AEC">
        <w:rPr>
          <w:rFonts w:ascii="Arial" w:eastAsia="Arial" w:hAnsi="Arial" w:cs="Arial"/>
          <w:i/>
          <w:color w:val="FF0000"/>
          <w:lang w:val="en"/>
        </w:rPr>
        <w:t>chosen from</w:t>
      </w:r>
      <w:r w:rsidR="006E5D82" w:rsidRPr="008A2AEC">
        <w:rPr>
          <w:rFonts w:ascii="Arial" w:eastAsia="Arial" w:hAnsi="Arial" w:cs="Arial"/>
          <w:i/>
          <w:color w:val="FF0000"/>
          <w:lang w:val="en"/>
        </w:rPr>
        <w:t xml:space="preserve"> any department, including the department offering a student’s major.  However, s</w:t>
      </w:r>
      <w:r w:rsidR="007F20B7" w:rsidRPr="008A2AEC">
        <w:rPr>
          <w:rFonts w:ascii="Arial" w:eastAsia="Arial" w:hAnsi="Arial" w:cs="Arial"/>
          <w:i/>
          <w:color w:val="FF0000"/>
          <w:lang w:val="en"/>
        </w:rPr>
        <w:t xml:space="preserve">tudents who select a minor in the department of their major may be subject to additional course requirements to avoid </w:t>
      </w:r>
      <w:r w:rsidR="006E5D82" w:rsidRPr="008A2AEC">
        <w:rPr>
          <w:rFonts w:ascii="Arial" w:eastAsia="Arial" w:hAnsi="Arial" w:cs="Arial"/>
          <w:i/>
          <w:color w:val="FF0000"/>
          <w:lang w:val="en"/>
        </w:rPr>
        <w:t>or minimize t</w:t>
      </w:r>
      <w:r w:rsidR="007F20B7" w:rsidRPr="008A2AEC">
        <w:rPr>
          <w:rFonts w:ascii="Arial" w:eastAsia="Arial" w:hAnsi="Arial" w:cs="Arial"/>
          <w:i/>
          <w:color w:val="FF0000"/>
          <w:lang w:val="en"/>
        </w:rPr>
        <w:t>he double use of courses</w:t>
      </w:r>
      <w:r w:rsidR="008A2AEC">
        <w:rPr>
          <w:rFonts w:ascii="Arial" w:eastAsia="Arial" w:hAnsi="Arial" w:cs="Arial"/>
          <w:i/>
          <w:color w:val="FF0000"/>
          <w:lang w:val="en"/>
        </w:rPr>
        <w:t xml:space="preserve"> (depending on the department’s double-dipping policies)</w:t>
      </w:r>
      <w:r w:rsidR="007F20B7" w:rsidRPr="008A2AEC">
        <w:rPr>
          <w:rFonts w:ascii="Arial" w:eastAsia="Arial" w:hAnsi="Arial" w:cs="Arial"/>
          <w:i/>
          <w:color w:val="FF0000"/>
          <w:lang w:val="en"/>
        </w:rPr>
        <w:t>.</w:t>
      </w:r>
      <w:r w:rsidR="007F20B7" w:rsidRPr="008A2AEC">
        <w:rPr>
          <w:rFonts w:ascii="Arial" w:eastAsia="Arial" w:hAnsi="Arial" w:cs="Arial"/>
          <w:i/>
          <w:lang w:val="en"/>
        </w:rPr>
        <w:t xml:space="preserve">  The declaration of a minor </w:t>
      </w:r>
      <w:r w:rsidR="007F20B7" w:rsidRPr="008A2AEC">
        <w:rPr>
          <w:rFonts w:ascii="Arial" w:eastAsia="Arial" w:hAnsi="Arial" w:cs="Arial"/>
          <w:i/>
          <w:color w:val="FF0000"/>
          <w:lang w:val="en"/>
        </w:rPr>
        <w:t>outside the department of the major</w:t>
      </w:r>
      <w:r w:rsidR="007F20B7" w:rsidRPr="008A2AEC">
        <w:rPr>
          <w:rFonts w:ascii="Arial" w:eastAsia="Arial" w:hAnsi="Arial" w:cs="Arial"/>
          <w:i/>
          <w:lang w:val="en"/>
        </w:rPr>
        <w:t xml:space="preserve"> may necessitate </w:t>
      </w:r>
      <w:r w:rsidR="008A2AEC" w:rsidRPr="008A2AEC">
        <w:rPr>
          <w:rFonts w:ascii="Arial" w:eastAsia="Arial" w:hAnsi="Arial" w:cs="Arial"/>
          <w:i/>
          <w:lang w:val="en"/>
        </w:rPr>
        <w:t>the</w:t>
      </w:r>
      <w:r w:rsidR="007F20B7" w:rsidRPr="008A2AEC">
        <w:rPr>
          <w:rFonts w:ascii="Arial" w:eastAsia="Arial" w:hAnsi="Arial" w:cs="Arial"/>
          <w:i/>
          <w:lang w:val="en"/>
        </w:rPr>
        <w:t xml:space="preserve"> approval </w:t>
      </w:r>
      <w:r w:rsidR="008A2AEC">
        <w:rPr>
          <w:rFonts w:ascii="Arial" w:eastAsia="Arial" w:hAnsi="Arial" w:cs="Arial"/>
          <w:i/>
          <w:lang w:val="en"/>
        </w:rPr>
        <w:t>of</w:t>
      </w:r>
      <w:r w:rsidR="007F20B7" w:rsidRPr="008A2AEC">
        <w:rPr>
          <w:rFonts w:ascii="Arial" w:eastAsia="Arial" w:hAnsi="Arial" w:cs="Arial"/>
          <w:i/>
          <w:lang w:val="en"/>
        </w:rPr>
        <w:t xml:space="preserve"> an advisor in the minor department, </w:t>
      </w:r>
      <w:r w:rsidR="00FF7615" w:rsidRPr="008A2AEC">
        <w:rPr>
          <w:rFonts w:ascii="Arial" w:eastAsia="Arial" w:hAnsi="Arial" w:cs="Arial"/>
          <w:i/>
          <w:color w:val="FF0000"/>
          <w:lang w:val="en"/>
        </w:rPr>
        <w:t>but</w:t>
      </w:r>
      <w:r w:rsidR="003D6847" w:rsidRPr="008A2AEC">
        <w:rPr>
          <w:rFonts w:ascii="Arial" w:eastAsia="Arial" w:hAnsi="Arial" w:cs="Arial"/>
          <w:i/>
          <w:lang w:val="en"/>
        </w:rPr>
        <w:t xml:space="preserve"> </w:t>
      </w:r>
      <w:r w:rsidR="007F20B7" w:rsidRPr="008A2AEC">
        <w:rPr>
          <w:rFonts w:ascii="Arial" w:eastAsia="Arial" w:hAnsi="Arial" w:cs="Arial"/>
          <w:i/>
          <w:lang w:val="en"/>
        </w:rPr>
        <w:t>is usually processed in the student's college academic services office.</w:t>
      </w:r>
      <w:r w:rsidR="003D6847" w:rsidRPr="008A2AEC">
        <w:rPr>
          <w:rFonts w:ascii="Arial" w:eastAsia="Arial" w:hAnsi="Arial" w:cs="Arial"/>
          <w:i/>
          <w:lang w:val="en"/>
        </w:rPr>
        <w:t xml:space="preserve">  </w:t>
      </w:r>
      <w:r w:rsidRPr="008A2AEC">
        <w:rPr>
          <w:rFonts w:ascii="Arial" w:eastAsia="Arial" w:hAnsi="Arial" w:cs="Arial"/>
          <w:i/>
          <w:lang w:val="en"/>
        </w:rPr>
        <w:t xml:space="preserve">To change or remove a minor, </w:t>
      </w:r>
      <w:r w:rsidR="00FF7615" w:rsidRPr="008A2AEC">
        <w:rPr>
          <w:rFonts w:ascii="Arial" w:eastAsia="Arial" w:hAnsi="Arial" w:cs="Arial"/>
          <w:i/>
          <w:lang w:val="en"/>
        </w:rPr>
        <w:t xml:space="preserve">students should </w:t>
      </w:r>
      <w:r w:rsidRPr="008A2AEC">
        <w:rPr>
          <w:rFonts w:ascii="Arial" w:eastAsia="Arial" w:hAnsi="Arial" w:cs="Arial"/>
          <w:i/>
          <w:lang w:val="en"/>
        </w:rPr>
        <w:t xml:space="preserve">consult with </w:t>
      </w:r>
      <w:r w:rsidR="00FF7615" w:rsidRPr="008A2AEC">
        <w:rPr>
          <w:rFonts w:ascii="Arial" w:eastAsia="Arial" w:hAnsi="Arial" w:cs="Arial"/>
          <w:i/>
          <w:lang w:val="en"/>
        </w:rPr>
        <w:t>thei</w:t>
      </w:r>
      <w:r w:rsidRPr="008A2AEC">
        <w:rPr>
          <w:rFonts w:ascii="Arial" w:eastAsia="Arial" w:hAnsi="Arial" w:cs="Arial"/>
          <w:i/>
          <w:lang w:val="en"/>
        </w:rPr>
        <w:t xml:space="preserve">r major advisor before completing this transaction in </w:t>
      </w:r>
      <w:r w:rsidR="00FF7615" w:rsidRPr="008A2AEC">
        <w:rPr>
          <w:rFonts w:ascii="Arial" w:eastAsia="Arial" w:hAnsi="Arial" w:cs="Arial"/>
          <w:i/>
          <w:lang w:val="en"/>
        </w:rPr>
        <w:t>thei</w:t>
      </w:r>
      <w:r w:rsidRPr="008A2AEC">
        <w:rPr>
          <w:rFonts w:ascii="Arial" w:eastAsia="Arial" w:hAnsi="Arial" w:cs="Arial"/>
          <w:i/>
          <w:lang w:val="en"/>
        </w:rPr>
        <w:t>r college academic services office.</w:t>
      </w:r>
    </w:p>
    <w:p w14:paraId="07B5F588" w14:textId="77777777" w:rsidR="008925D4" w:rsidRDefault="008925D4">
      <w:pPr>
        <w:spacing w:after="0" w:line="240" w:lineRule="auto"/>
        <w:rPr>
          <w:rFonts w:ascii="Arial" w:eastAsia="Arial" w:hAnsi="Arial" w:cs="Arial"/>
          <w:b/>
        </w:rPr>
      </w:pPr>
    </w:p>
    <w:p w14:paraId="29DFD5F4" w14:textId="7BB86E59" w:rsidR="008560B6" w:rsidRDefault="008560B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Justification</w:t>
      </w:r>
      <w:r w:rsidR="003D6847">
        <w:rPr>
          <w:rFonts w:ascii="Arial" w:eastAsia="Arial" w:hAnsi="Arial" w:cs="Arial"/>
          <w:b/>
        </w:rPr>
        <w:t xml:space="preserve"> for the amendment</w:t>
      </w:r>
      <w:r w:rsidR="008A2AEC">
        <w:rPr>
          <w:rFonts w:ascii="Arial" w:eastAsia="Arial" w:hAnsi="Arial" w:cs="Arial"/>
          <w:b/>
        </w:rPr>
        <w:t>:</w:t>
      </w:r>
    </w:p>
    <w:p w14:paraId="0CC1537D" w14:textId="3304482D" w:rsidR="00C82A61" w:rsidRPr="008B28E8" w:rsidRDefault="003D6847" w:rsidP="008B28E8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</w:rPr>
      </w:pPr>
      <w:r w:rsidRPr="008B28E8">
        <w:rPr>
          <w:rFonts w:ascii="Arial" w:eastAsia="Arial" w:hAnsi="Arial" w:cs="Arial"/>
        </w:rPr>
        <w:t xml:space="preserve">The policy on Declaring/Changing a Minor is currently unclear </w:t>
      </w:r>
      <w:r w:rsidR="00342B49" w:rsidRPr="008B28E8">
        <w:rPr>
          <w:rFonts w:ascii="Arial" w:eastAsia="Arial" w:hAnsi="Arial" w:cs="Arial"/>
        </w:rPr>
        <w:t>as to</w:t>
      </w:r>
      <w:r w:rsidRPr="008B28E8">
        <w:rPr>
          <w:rFonts w:ascii="Arial" w:eastAsia="Arial" w:hAnsi="Arial" w:cs="Arial"/>
        </w:rPr>
        <w:t xml:space="preserve"> whether students may select a minor in the same department as their major.  While the traditional purpose of a minor is to add breadth to a student’</w:t>
      </w:r>
      <w:r w:rsidR="00C82A61" w:rsidRPr="008B28E8">
        <w:rPr>
          <w:rFonts w:ascii="Arial" w:eastAsia="Arial" w:hAnsi="Arial" w:cs="Arial"/>
        </w:rPr>
        <w:t>s degree program</w:t>
      </w:r>
      <w:r w:rsidR="00740551">
        <w:rPr>
          <w:rFonts w:ascii="Arial" w:eastAsia="Arial" w:hAnsi="Arial" w:cs="Arial"/>
        </w:rPr>
        <w:t xml:space="preserve"> with another discipline</w:t>
      </w:r>
      <w:r w:rsidR="00C82A61" w:rsidRPr="008B28E8">
        <w:rPr>
          <w:rFonts w:ascii="Arial" w:eastAsia="Arial" w:hAnsi="Arial" w:cs="Arial"/>
        </w:rPr>
        <w:t>, many</w:t>
      </w:r>
      <w:r w:rsidRPr="008B28E8">
        <w:rPr>
          <w:rFonts w:ascii="Arial" w:eastAsia="Arial" w:hAnsi="Arial" w:cs="Arial"/>
        </w:rPr>
        <w:t xml:space="preserve"> departments have added unique minors </w:t>
      </w:r>
      <w:r w:rsidR="00FF7615">
        <w:rPr>
          <w:rFonts w:ascii="Arial" w:eastAsia="Arial" w:hAnsi="Arial" w:cs="Arial"/>
        </w:rPr>
        <w:t>to their curriculum</w:t>
      </w:r>
      <w:r w:rsidRPr="008B28E8">
        <w:rPr>
          <w:rFonts w:ascii="Arial" w:eastAsia="Arial" w:hAnsi="Arial" w:cs="Arial"/>
        </w:rPr>
        <w:t xml:space="preserve"> that </w:t>
      </w:r>
      <w:r w:rsidR="00FF7615">
        <w:rPr>
          <w:rFonts w:ascii="Arial" w:eastAsia="Arial" w:hAnsi="Arial" w:cs="Arial"/>
        </w:rPr>
        <w:t>provide other options</w:t>
      </w:r>
      <w:r w:rsidR="00C82A61" w:rsidRPr="008B28E8">
        <w:rPr>
          <w:rFonts w:ascii="Arial" w:eastAsia="Arial" w:hAnsi="Arial" w:cs="Arial"/>
        </w:rPr>
        <w:t xml:space="preserve">.  </w:t>
      </w:r>
    </w:p>
    <w:p w14:paraId="791D6B80" w14:textId="22302C1B" w:rsidR="003D6847" w:rsidRPr="008B28E8" w:rsidRDefault="00C82A61" w:rsidP="008B28E8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</w:rPr>
      </w:pPr>
      <w:r w:rsidRPr="008B28E8">
        <w:rPr>
          <w:rFonts w:ascii="Arial" w:eastAsia="Arial" w:hAnsi="Arial" w:cs="Arial"/>
        </w:rPr>
        <w:t>Students who select a minor in the same department as the major may (1) add depth to their degree program by</w:t>
      </w:r>
      <w:r w:rsidR="00342B49" w:rsidRPr="008B28E8">
        <w:rPr>
          <w:rFonts w:ascii="Arial" w:eastAsia="Arial" w:hAnsi="Arial" w:cs="Arial"/>
        </w:rPr>
        <w:t xml:space="preserve"> </w:t>
      </w:r>
      <w:r w:rsidRPr="008B28E8">
        <w:rPr>
          <w:rFonts w:ascii="Arial" w:eastAsia="Arial" w:hAnsi="Arial" w:cs="Arial"/>
        </w:rPr>
        <w:t>focusing on</w:t>
      </w:r>
      <w:r w:rsidR="00342B49" w:rsidRPr="008B28E8">
        <w:rPr>
          <w:rFonts w:ascii="Arial" w:eastAsia="Arial" w:hAnsi="Arial" w:cs="Arial"/>
        </w:rPr>
        <w:t xml:space="preserve"> a subfield of the discipline</w:t>
      </w:r>
      <w:r w:rsidR="00740551">
        <w:rPr>
          <w:rFonts w:ascii="Arial" w:eastAsia="Arial" w:hAnsi="Arial" w:cs="Arial"/>
        </w:rPr>
        <w:t>, or</w:t>
      </w:r>
      <w:r w:rsidRPr="008B28E8">
        <w:rPr>
          <w:rFonts w:ascii="Arial" w:eastAsia="Arial" w:hAnsi="Arial" w:cs="Arial"/>
        </w:rPr>
        <w:t xml:space="preserve"> (2) add </w:t>
      </w:r>
      <w:r w:rsidR="00740551">
        <w:rPr>
          <w:rFonts w:ascii="Arial" w:eastAsia="Arial" w:hAnsi="Arial" w:cs="Arial"/>
        </w:rPr>
        <w:t xml:space="preserve">breadth with </w:t>
      </w:r>
      <w:r w:rsidRPr="008B28E8">
        <w:rPr>
          <w:rFonts w:ascii="Arial" w:eastAsia="Arial" w:hAnsi="Arial" w:cs="Arial"/>
        </w:rPr>
        <w:t>a second area of emphasis within that discipli</w:t>
      </w:r>
      <w:r w:rsidR="00740551">
        <w:rPr>
          <w:rFonts w:ascii="Arial" w:eastAsia="Arial" w:hAnsi="Arial" w:cs="Arial"/>
        </w:rPr>
        <w:t>ne</w:t>
      </w:r>
      <w:r w:rsidR="008B28E8" w:rsidRPr="008B28E8">
        <w:rPr>
          <w:rFonts w:ascii="Arial" w:eastAsia="Arial" w:hAnsi="Arial" w:cs="Arial"/>
        </w:rPr>
        <w:t>.</w:t>
      </w:r>
    </w:p>
    <w:p w14:paraId="4EA33AB3" w14:textId="7A2C05F9" w:rsidR="008560B6" w:rsidRPr="008B28E8" w:rsidRDefault="008B28E8" w:rsidP="008B28E8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</w:rPr>
      </w:pPr>
      <w:r w:rsidRPr="008B28E8">
        <w:rPr>
          <w:rFonts w:ascii="Arial" w:eastAsia="Arial" w:hAnsi="Arial" w:cs="Arial"/>
        </w:rPr>
        <w:t xml:space="preserve">For example, students with a Nutritional Sciences Major—Nutrition </w:t>
      </w:r>
      <w:r w:rsidR="00FF7615">
        <w:rPr>
          <w:rFonts w:ascii="Arial" w:eastAsia="Arial" w:hAnsi="Arial" w:cs="Arial"/>
        </w:rPr>
        <w:t xml:space="preserve">or Dietetics </w:t>
      </w:r>
      <w:r w:rsidRPr="008B28E8">
        <w:rPr>
          <w:rFonts w:ascii="Arial" w:eastAsia="Arial" w:hAnsi="Arial" w:cs="Arial"/>
        </w:rPr>
        <w:t xml:space="preserve">Emphasis—may wish to add a Sports Nutrition Minor </w:t>
      </w:r>
      <w:r w:rsidR="008560B6" w:rsidRPr="008B28E8">
        <w:rPr>
          <w:rFonts w:ascii="Arial" w:eastAsia="Arial" w:hAnsi="Arial" w:cs="Arial"/>
        </w:rPr>
        <w:t xml:space="preserve">to develop knowledge and skills in the highly specialized </w:t>
      </w:r>
      <w:r w:rsidRPr="008B28E8">
        <w:rPr>
          <w:rFonts w:ascii="Arial" w:eastAsia="Arial" w:hAnsi="Arial" w:cs="Arial"/>
        </w:rPr>
        <w:t xml:space="preserve">area </w:t>
      </w:r>
      <w:r w:rsidR="008560B6" w:rsidRPr="008B28E8">
        <w:rPr>
          <w:rFonts w:ascii="Arial" w:eastAsia="Arial" w:hAnsi="Arial" w:cs="Arial"/>
        </w:rPr>
        <w:t>of nutrition for athlete</w:t>
      </w:r>
      <w:r w:rsidR="00FF7615">
        <w:rPr>
          <w:rFonts w:ascii="Arial" w:eastAsia="Arial" w:hAnsi="Arial" w:cs="Arial"/>
        </w:rPr>
        <w:t>s</w:t>
      </w:r>
      <w:r w:rsidRPr="008B28E8">
        <w:rPr>
          <w:rFonts w:ascii="Arial" w:eastAsia="Arial" w:hAnsi="Arial" w:cs="Arial"/>
        </w:rPr>
        <w:t>. This minor</w:t>
      </w:r>
      <w:r w:rsidR="008560B6" w:rsidRPr="008B28E8">
        <w:rPr>
          <w:rFonts w:ascii="Arial" w:eastAsia="Arial" w:hAnsi="Arial" w:cs="Arial"/>
        </w:rPr>
        <w:t xml:space="preserve"> would allow students to be more competitive in the sports nutrition profession</w:t>
      </w:r>
      <w:r w:rsidR="006E5D82">
        <w:rPr>
          <w:rFonts w:ascii="Arial" w:eastAsia="Arial" w:hAnsi="Arial" w:cs="Arial"/>
        </w:rPr>
        <w:t>,</w:t>
      </w:r>
      <w:r w:rsidR="008560B6" w:rsidRPr="008B28E8">
        <w:rPr>
          <w:rFonts w:ascii="Arial" w:eastAsia="Arial" w:hAnsi="Arial" w:cs="Arial"/>
        </w:rPr>
        <w:t xml:space="preserve"> </w:t>
      </w:r>
      <w:r w:rsidRPr="008B28E8">
        <w:rPr>
          <w:rFonts w:ascii="Arial" w:eastAsia="Arial" w:hAnsi="Arial" w:cs="Arial"/>
        </w:rPr>
        <w:t>since the</w:t>
      </w:r>
      <w:r w:rsidR="008560B6" w:rsidRPr="008B28E8">
        <w:rPr>
          <w:rFonts w:ascii="Arial" w:eastAsia="Arial" w:hAnsi="Arial" w:cs="Arial"/>
        </w:rPr>
        <w:t xml:space="preserve"> content is not available in the Nutritional Sciences </w:t>
      </w:r>
      <w:r w:rsidR="006E5D82">
        <w:rPr>
          <w:rFonts w:ascii="Arial" w:eastAsia="Arial" w:hAnsi="Arial" w:cs="Arial"/>
        </w:rPr>
        <w:t>M</w:t>
      </w:r>
      <w:r w:rsidR="008560B6" w:rsidRPr="008B28E8">
        <w:rPr>
          <w:rFonts w:ascii="Arial" w:eastAsia="Arial" w:hAnsi="Arial" w:cs="Arial"/>
        </w:rPr>
        <w:t>ajor.  </w:t>
      </w:r>
      <w:r w:rsidR="006E5D82">
        <w:rPr>
          <w:rFonts w:ascii="Arial" w:eastAsia="Arial" w:hAnsi="Arial" w:cs="Arial"/>
        </w:rPr>
        <w:t>The Sports Nutrition Minor would allow</w:t>
      </w:r>
      <w:r w:rsidR="008560B6" w:rsidRPr="008B28E8">
        <w:rPr>
          <w:rFonts w:ascii="Arial" w:eastAsia="Arial" w:hAnsi="Arial" w:cs="Arial"/>
        </w:rPr>
        <w:t xml:space="preserve"> students </w:t>
      </w:r>
      <w:r w:rsidR="006E5D82">
        <w:rPr>
          <w:rFonts w:ascii="Arial" w:eastAsia="Arial" w:hAnsi="Arial" w:cs="Arial"/>
        </w:rPr>
        <w:t>in the BS-NUSC Program to:</w:t>
      </w:r>
    </w:p>
    <w:p w14:paraId="670FD0B2" w14:textId="75764A19" w:rsidR="008560B6" w:rsidRPr="008925D4" w:rsidRDefault="008560B6" w:rsidP="006E5D82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</w:rPr>
      </w:pPr>
      <w:r w:rsidRPr="008925D4">
        <w:rPr>
          <w:rFonts w:ascii="Arial" w:eastAsia="Arial" w:hAnsi="Arial" w:cs="Arial"/>
        </w:rPr>
        <w:t xml:space="preserve">Identify unique nutrition challenges faced by athletes </w:t>
      </w:r>
      <w:r w:rsidR="006E5D82">
        <w:rPr>
          <w:rFonts w:ascii="Arial" w:eastAsia="Arial" w:hAnsi="Arial" w:cs="Arial"/>
        </w:rPr>
        <w:t>t</w:t>
      </w:r>
      <w:r w:rsidRPr="008925D4">
        <w:rPr>
          <w:rFonts w:ascii="Arial" w:eastAsia="Arial" w:hAnsi="Arial" w:cs="Arial"/>
        </w:rPr>
        <w:t>hat affect health and physical performance.</w:t>
      </w:r>
    </w:p>
    <w:p w14:paraId="64C63D8A" w14:textId="77777777" w:rsidR="008560B6" w:rsidRPr="008925D4" w:rsidRDefault="008560B6" w:rsidP="006E5D82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</w:rPr>
      </w:pPr>
      <w:r w:rsidRPr="008925D4">
        <w:rPr>
          <w:rFonts w:ascii="Arial" w:eastAsia="Arial" w:hAnsi="Arial" w:cs="Arial"/>
        </w:rPr>
        <w:t>Describe the relationship between sports nutrition practices and optimal athletic performance.</w:t>
      </w:r>
    </w:p>
    <w:p w14:paraId="2433C129" w14:textId="18E57B89" w:rsidR="008560B6" w:rsidRPr="008925D4" w:rsidRDefault="008560B6" w:rsidP="006E5D82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</w:rPr>
      </w:pPr>
      <w:r w:rsidRPr="008925D4">
        <w:rPr>
          <w:rFonts w:ascii="Arial" w:eastAsia="Arial" w:hAnsi="Arial" w:cs="Arial"/>
        </w:rPr>
        <w:t xml:space="preserve">Apply scientific evidence, best practices, and professional judgment when evaluating </w:t>
      </w:r>
      <w:r w:rsidR="0066412B">
        <w:rPr>
          <w:rFonts w:ascii="Arial" w:eastAsia="Arial" w:hAnsi="Arial" w:cs="Arial"/>
        </w:rPr>
        <w:t>sports supplements and products</w:t>
      </w:r>
      <w:r w:rsidRPr="008925D4">
        <w:rPr>
          <w:rFonts w:ascii="Arial" w:eastAsia="Arial" w:hAnsi="Arial" w:cs="Arial"/>
        </w:rPr>
        <w:t>.</w:t>
      </w:r>
    </w:p>
    <w:p w14:paraId="3C0F58B3" w14:textId="36C0F70F" w:rsidR="00966F80" w:rsidRDefault="00966F80" w:rsidP="0074020E">
      <w:pPr>
        <w:rPr>
          <w:rFonts w:ascii="Arial" w:eastAsia="Arial" w:hAnsi="Arial" w:cs="Arial"/>
        </w:rPr>
      </w:pPr>
    </w:p>
    <w:p w14:paraId="5DD569FA" w14:textId="77777777" w:rsidR="008A2AEC" w:rsidRDefault="008A2AEC" w:rsidP="0074020E">
      <w:pPr>
        <w:rPr>
          <w:rFonts w:ascii="Arial" w:eastAsia="Arial" w:hAnsi="Arial" w:cs="Arial"/>
          <w:b/>
        </w:rPr>
      </w:pPr>
      <w:r w:rsidRPr="008A2AEC">
        <w:rPr>
          <w:rFonts w:ascii="Arial" w:eastAsia="Arial" w:hAnsi="Arial" w:cs="Arial"/>
          <w:b/>
        </w:rPr>
        <w:t>Effective Term:</w:t>
      </w:r>
      <w:r>
        <w:rPr>
          <w:rFonts w:ascii="Arial" w:eastAsia="Arial" w:hAnsi="Arial" w:cs="Arial"/>
          <w:b/>
        </w:rPr>
        <w:t xml:space="preserve">  </w:t>
      </w:r>
    </w:p>
    <w:p w14:paraId="23D2CE72" w14:textId="3BD4628C" w:rsidR="0066412B" w:rsidRPr="008A2AEC" w:rsidRDefault="008A2AEC" w:rsidP="008A2AEC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Spring 2020 for all enrolled undergraduates, regardless of Catalog year</w:t>
      </w:r>
    </w:p>
    <w:sectPr w:rsidR="0066412B" w:rsidRPr="008A2AEC" w:rsidSect="006906AB">
      <w:headerReference w:type="default" r:id="rId10"/>
      <w:footerReference w:type="default" r:id="rId11"/>
      <w:pgSz w:w="12240" w:h="15840"/>
      <w:pgMar w:top="990" w:right="810" w:bottom="1170" w:left="90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B0F49" w14:textId="77777777" w:rsidR="00370F6E" w:rsidRDefault="00370F6E">
      <w:pPr>
        <w:spacing w:after="0" w:line="240" w:lineRule="auto"/>
      </w:pPr>
      <w:r>
        <w:separator/>
      </w:r>
    </w:p>
  </w:endnote>
  <w:endnote w:type="continuationSeparator" w:id="0">
    <w:p w14:paraId="6C94F7E1" w14:textId="77777777" w:rsidR="00370F6E" w:rsidRDefault="00370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MS Mincho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E71C4" w14:textId="120E944F" w:rsidR="00966F80" w:rsidRDefault="0099644E">
    <w:pPr>
      <w:rPr>
        <w:sz w:val="16"/>
        <w:szCs w:val="16"/>
      </w:rPr>
    </w:pPr>
    <w:r>
      <w:rPr>
        <w:sz w:val="16"/>
        <w:szCs w:val="16"/>
      </w:rPr>
      <w:t>4</w:t>
    </w:r>
    <w:r w:rsidR="0074020E">
      <w:rPr>
        <w:sz w:val="16"/>
        <w:szCs w:val="16"/>
      </w:rPr>
      <w:t>-</w:t>
    </w:r>
    <w:r w:rsidR="008A2AEC">
      <w:rPr>
        <w:sz w:val="16"/>
        <w:szCs w:val="16"/>
      </w:rPr>
      <w:t>22</w:t>
    </w:r>
    <w:r w:rsidR="0074020E">
      <w:rPr>
        <w:sz w:val="16"/>
        <w:szCs w:val="16"/>
      </w:rPr>
      <w:t>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74BFA" w14:textId="77777777" w:rsidR="00370F6E" w:rsidRDefault="00370F6E">
      <w:pPr>
        <w:spacing w:after="0" w:line="240" w:lineRule="auto"/>
      </w:pPr>
      <w:r>
        <w:separator/>
      </w:r>
    </w:p>
  </w:footnote>
  <w:footnote w:type="continuationSeparator" w:id="0">
    <w:p w14:paraId="7613999E" w14:textId="77777777" w:rsidR="00370F6E" w:rsidRDefault="00370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D3236" w14:textId="77777777" w:rsidR="00966F80" w:rsidRDefault="00966F80">
    <w:pPr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E1756"/>
    <w:multiLevelType w:val="hybridMultilevel"/>
    <w:tmpl w:val="D02A6EB4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A6A59C1"/>
    <w:multiLevelType w:val="hybridMultilevel"/>
    <w:tmpl w:val="79B46906"/>
    <w:lvl w:ilvl="0" w:tplc="9F76F5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36EC0"/>
    <w:multiLevelType w:val="multilevel"/>
    <w:tmpl w:val="1968148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A1B4DB8"/>
    <w:multiLevelType w:val="hybridMultilevel"/>
    <w:tmpl w:val="7706AA1E"/>
    <w:lvl w:ilvl="0" w:tplc="B8C2960C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54E059F"/>
    <w:multiLevelType w:val="multilevel"/>
    <w:tmpl w:val="9E3032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BB1186C"/>
    <w:multiLevelType w:val="multilevel"/>
    <w:tmpl w:val="1968148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4E0E2E9C"/>
    <w:multiLevelType w:val="multilevel"/>
    <w:tmpl w:val="9FA630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03E02C7"/>
    <w:multiLevelType w:val="multilevel"/>
    <w:tmpl w:val="85C0BE5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80"/>
    <w:rsid w:val="000074AA"/>
    <w:rsid w:val="0001456A"/>
    <w:rsid w:val="00057BA0"/>
    <w:rsid w:val="00131E05"/>
    <w:rsid w:val="001F14B8"/>
    <w:rsid w:val="00262784"/>
    <w:rsid w:val="0027676E"/>
    <w:rsid w:val="00342B49"/>
    <w:rsid w:val="00370F6E"/>
    <w:rsid w:val="00391767"/>
    <w:rsid w:val="003D6847"/>
    <w:rsid w:val="003E7FD9"/>
    <w:rsid w:val="004F0E29"/>
    <w:rsid w:val="00522879"/>
    <w:rsid w:val="00535B9B"/>
    <w:rsid w:val="00542CAD"/>
    <w:rsid w:val="0066412B"/>
    <w:rsid w:val="00680B54"/>
    <w:rsid w:val="006906AB"/>
    <w:rsid w:val="006B1DDA"/>
    <w:rsid w:val="006E5D82"/>
    <w:rsid w:val="0074020E"/>
    <w:rsid w:val="00740551"/>
    <w:rsid w:val="007F20B7"/>
    <w:rsid w:val="00820F52"/>
    <w:rsid w:val="00845F77"/>
    <w:rsid w:val="008560B6"/>
    <w:rsid w:val="008925D4"/>
    <w:rsid w:val="008A2AEC"/>
    <w:rsid w:val="008B28E8"/>
    <w:rsid w:val="00966F80"/>
    <w:rsid w:val="0099644E"/>
    <w:rsid w:val="009C1F44"/>
    <w:rsid w:val="009D5CBA"/>
    <w:rsid w:val="009E4D22"/>
    <w:rsid w:val="00A45537"/>
    <w:rsid w:val="00BA50CB"/>
    <w:rsid w:val="00BC26CD"/>
    <w:rsid w:val="00C82A61"/>
    <w:rsid w:val="00CA46FD"/>
    <w:rsid w:val="00D82B23"/>
    <w:rsid w:val="00E17BE3"/>
    <w:rsid w:val="00E74873"/>
    <w:rsid w:val="00EF0A4F"/>
    <w:rsid w:val="00F3495D"/>
    <w:rsid w:val="00FD2F95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17E9A63"/>
  <w15:docId w15:val="{5E974679-976C-4F95-B047-0A875263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92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5D4"/>
  </w:style>
  <w:style w:type="paragraph" w:styleId="Footer">
    <w:name w:val="footer"/>
    <w:basedOn w:val="Normal"/>
    <w:link w:val="FooterChar"/>
    <w:uiPriority w:val="99"/>
    <w:unhideWhenUsed/>
    <w:rsid w:val="00892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5D4"/>
  </w:style>
  <w:style w:type="paragraph" w:styleId="BalloonText">
    <w:name w:val="Balloon Text"/>
    <w:basedOn w:val="Normal"/>
    <w:link w:val="BalloonTextChar"/>
    <w:uiPriority w:val="99"/>
    <w:semiHidden/>
    <w:unhideWhenUsed/>
    <w:rsid w:val="00690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6A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17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14B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F14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14B8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6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322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5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56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2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arizona.edu/policy/undergraduate-mino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dvising.arizona.edu/advisors/maj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Morrow, Trudy - (morrow1)</dc:creator>
  <cp:lastModifiedBy>Sorg, Abbie</cp:lastModifiedBy>
  <cp:revision>5</cp:revision>
  <cp:lastPrinted>2019-02-04T19:36:00Z</cp:lastPrinted>
  <dcterms:created xsi:type="dcterms:W3CDTF">2019-04-22T20:30:00Z</dcterms:created>
  <dcterms:modified xsi:type="dcterms:W3CDTF">2019-08-14T21:41:00Z</dcterms:modified>
</cp:coreProperties>
</file>