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2C" w:rsidRPr="00864E2C" w:rsidRDefault="00864E2C" w:rsidP="00864E2C">
      <w:pPr>
        <w:spacing w:after="0" w:line="240" w:lineRule="auto"/>
        <w:rPr>
          <w:rFonts w:eastAsia="Times New Roman" w:cstheme="minorHAnsi"/>
          <w:sz w:val="24"/>
          <w:szCs w:val="24"/>
        </w:rPr>
      </w:pPr>
      <w:r w:rsidRPr="00864E2C">
        <w:rPr>
          <w:rFonts w:eastAsia="Times New Roman" w:cstheme="minorHAnsi"/>
          <w:sz w:val="24"/>
          <w:szCs w:val="24"/>
          <w:shd w:val="clear" w:color="auto" w:fill="FFFFFF"/>
        </w:rPr>
        <w:t>Faculty Roles and Qualifications</w:t>
      </w:r>
      <w:r>
        <w:rPr>
          <w:rFonts w:eastAsia="Times New Roman" w:cstheme="minorHAnsi"/>
          <w:sz w:val="24"/>
          <w:szCs w:val="24"/>
          <w:shd w:val="clear" w:color="auto" w:fill="FFFFFF"/>
        </w:rPr>
        <w:t xml:space="preserve"> </w:t>
      </w:r>
      <w:r w:rsidRPr="00864E2C">
        <w:rPr>
          <w:rFonts w:eastAsia="Times New Roman" w:cstheme="minorHAnsi"/>
          <w:sz w:val="20"/>
          <w:szCs w:val="20"/>
          <w:shd w:val="clear" w:color="auto" w:fill="FFFFFF"/>
        </w:rPr>
        <w:t xml:space="preserve">(found at </w:t>
      </w:r>
      <w:hyperlink r:id="rId5" w:history="1">
        <w:r w:rsidRPr="00864E2C">
          <w:rPr>
            <w:rStyle w:val="Hyperlink"/>
            <w:sz w:val="20"/>
            <w:szCs w:val="20"/>
          </w:rPr>
          <w:t>https://www.hlcommission.org/Policies/assumed-practices.html</w:t>
        </w:r>
      </w:hyperlink>
      <w:r w:rsidRPr="00864E2C">
        <w:rPr>
          <w:sz w:val="20"/>
          <w:szCs w:val="20"/>
        </w:rPr>
        <w:t>)</w:t>
      </w:r>
    </w:p>
    <w:p w:rsidR="00864E2C" w:rsidRPr="00864E2C" w:rsidRDefault="00864E2C" w:rsidP="00864E2C">
      <w:pPr>
        <w:numPr>
          <w:ilvl w:val="0"/>
          <w:numId w:val="1"/>
        </w:numPr>
        <w:shd w:val="clear" w:color="auto" w:fill="FFFFFF"/>
        <w:spacing w:after="100" w:afterAutospacing="1" w:line="450" w:lineRule="atLeast"/>
        <w:ind w:left="750"/>
        <w:rPr>
          <w:rFonts w:eastAsia="Times New Roman" w:cstheme="minorHAnsi"/>
          <w:sz w:val="24"/>
          <w:szCs w:val="24"/>
          <w:highlight w:val="yellow"/>
        </w:rPr>
      </w:pPr>
      <w:r w:rsidRPr="00864E2C">
        <w:rPr>
          <w:rFonts w:eastAsia="Times New Roman" w:cstheme="minorHAnsi"/>
          <w:sz w:val="24"/>
          <w:szCs w:val="24"/>
          <w:highlight w:val="yellow"/>
        </w:rPr>
        <w:t>Qualified faculty members are identified primarily by credentials, but other factors, including but not limited to equivalent experience, may be considered by the institution in determining whether a faculty member is qualified. Instructors (excluding for this requirement teaching assistants enrolled in a graduate program and supervised by faculty) possess an academic degree relevant to what they are teaching and at least one level above the level at which they teach, except in programs for terminal degrees or when equivalent experience is established. In terminal degree programs, faculty members possess the same level of degree. When faculty members are employed based on equivalent experience, the institution defines a minimum threshold of experience and an evaluation process that is used in the appointment process. Faculty teaching general education courses, or other non-occupational courses, hold a master’s degree or higher in the discipline or subfield. If a faculty member holds a master’s degree or higher in a discipline or subfield other than that in which he or she is teaching, that faculty member should have completed a minimum of 18 graduate credit hours in the discipline or subfield in which they teach.</w:t>
      </w:r>
    </w:p>
    <w:p w:rsidR="00864E2C" w:rsidRPr="00864E2C" w:rsidRDefault="00864E2C" w:rsidP="00864E2C">
      <w:pPr>
        <w:numPr>
          <w:ilvl w:val="0"/>
          <w:numId w:val="1"/>
        </w:numPr>
        <w:shd w:val="clear" w:color="auto" w:fill="FFFFFF"/>
        <w:spacing w:before="100" w:beforeAutospacing="1" w:after="100" w:afterAutospacing="1" w:line="450" w:lineRule="atLeast"/>
        <w:ind w:left="750"/>
        <w:rPr>
          <w:rFonts w:eastAsia="Times New Roman" w:cstheme="minorHAnsi"/>
          <w:sz w:val="24"/>
          <w:szCs w:val="24"/>
        </w:rPr>
      </w:pPr>
      <w:r w:rsidRPr="00864E2C">
        <w:rPr>
          <w:rFonts w:eastAsia="Times New Roman" w:cstheme="minorHAnsi"/>
          <w:sz w:val="24"/>
          <w:szCs w:val="24"/>
        </w:rPr>
        <w:t>Instructors teaching in graduate programs should hold the terminal degree determined by the discipline and have a record of research, scholarship or achievement appropriate for the graduate program.</w:t>
      </w:r>
    </w:p>
    <w:p w:rsidR="00864E2C" w:rsidRPr="00864E2C" w:rsidRDefault="00864E2C" w:rsidP="00864E2C">
      <w:pPr>
        <w:numPr>
          <w:ilvl w:val="0"/>
          <w:numId w:val="1"/>
        </w:numPr>
        <w:shd w:val="clear" w:color="auto" w:fill="FFFFFF"/>
        <w:spacing w:before="100" w:beforeAutospacing="1" w:after="100" w:afterAutospacing="1" w:line="450" w:lineRule="atLeast"/>
        <w:ind w:left="750"/>
        <w:rPr>
          <w:rFonts w:eastAsia="Times New Roman" w:cstheme="minorHAnsi"/>
          <w:sz w:val="24"/>
          <w:szCs w:val="24"/>
        </w:rPr>
      </w:pPr>
      <w:r w:rsidRPr="00864E2C">
        <w:rPr>
          <w:rFonts w:eastAsia="Times New Roman" w:cstheme="minorHAnsi"/>
          <w:sz w:val="24"/>
          <w:szCs w:val="24"/>
        </w:rPr>
        <w:t>Instructors teaching at the doctoral level have a record of recognized scholarship, creative endeavor, or achievement in practice commensurate with doctoral expectations.</w:t>
      </w:r>
    </w:p>
    <w:p w:rsidR="00864E2C" w:rsidRPr="00864E2C" w:rsidRDefault="00864E2C" w:rsidP="00864E2C">
      <w:pPr>
        <w:numPr>
          <w:ilvl w:val="0"/>
          <w:numId w:val="1"/>
        </w:numPr>
        <w:shd w:val="clear" w:color="auto" w:fill="FFFFFF"/>
        <w:spacing w:before="100" w:beforeAutospacing="1" w:after="100" w:afterAutospacing="1" w:line="450" w:lineRule="atLeast"/>
        <w:ind w:left="750"/>
        <w:rPr>
          <w:rFonts w:eastAsia="Times New Roman" w:cstheme="minorHAnsi"/>
          <w:sz w:val="24"/>
          <w:szCs w:val="24"/>
        </w:rPr>
      </w:pPr>
      <w:r w:rsidRPr="00864E2C">
        <w:rPr>
          <w:rFonts w:eastAsia="Times New Roman" w:cstheme="minorHAnsi"/>
          <w:sz w:val="24"/>
          <w:szCs w:val="24"/>
        </w:rPr>
        <w:t>Faculty participate substantially in:</w:t>
      </w:r>
    </w:p>
    <w:p w:rsidR="00864E2C" w:rsidRPr="00864E2C" w:rsidRDefault="00864E2C" w:rsidP="00864E2C">
      <w:pPr>
        <w:numPr>
          <w:ilvl w:val="1"/>
          <w:numId w:val="1"/>
        </w:numPr>
        <w:shd w:val="clear" w:color="auto" w:fill="FFFFFF"/>
        <w:spacing w:before="100" w:beforeAutospacing="1" w:after="100" w:afterAutospacing="1" w:line="450" w:lineRule="atLeast"/>
        <w:ind w:left="1500"/>
        <w:rPr>
          <w:rFonts w:eastAsia="Times New Roman" w:cstheme="minorHAnsi"/>
          <w:sz w:val="24"/>
          <w:szCs w:val="24"/>
        </w:rPr>
      </w:pPr>
      <w:r w:rsidRPr="00864E2C">
        <w:rPr>
          <w:rFonts w:eastAsia="Times New Roman" w:cstheme="minorHAnsi"/>
          <w:sz w:val="24"/>
          <w:szCs w:val="24"/>
        </w:rPr>
        <w:t>oversight of the curriculum—its development and implementation, academic substance, currency, and relevance for internal and external constituencies;</w:t>
      </w:r>
    </w:p>
    <w:p w:rsidR="00864E2C" w:rsidRPr="00864E2C" w:rsidRDefault="00864E2C" w:rsidP="00864E2C">
      <w:pPr>
        <w:numPr>
          <w:ilvl w:val="1"/>
          <w:numId w:val="1"/>
        </w:numPr>
        <w:shd w:val="clear" w:color="auto" w:fill="FFFFFF"/>
        <w:spacing w:before="100" w:beforeAutospacing="1" w:after="100" w:afterAutospacing="1" w:line="450" w:lineRule="atLeast"/>
        <w:ind w:left="1500"/>
        <w:rPr>
          <w:rFonts w:eastAsia="Times New Roman" w:cstheme="minorHAnsi"/>
          <w:sz w:val="24"/>
          <w:szCs w:val="24"/>
        </w:rPr>
      </w:pPr>
      <w:r w:rsidRPr="00864E2C">
        <w:rPr>
          <w:rFonts w:eastAsia="Times New Roman" w:cstheme="minorHAnsi"/>
          <w:sz w:val="24"/>
          <w:szCs w:val="24"/>
        </w:rPr>
        <w:t>assurance of consistency in the level and quality of instruction and in the expectations of student performance;</w:t>
      </w:r>
    </w:p>
    <w:p w:rsidR="00864E2C" w:rsidRPr="00864E2C" w:rsidRDefault="00864E2C" w:rsidP="00864E2C">
      <w:pPr>
        <w:numPr>
          <w:ilvl w:val="1"/>
          <w:numId w:val="1"/>
        </w:numPr>
        <w:shd w:val="clear" w:color="auto" w:fill="FFFFFF"/>
        <w:spacing w:before="100" w:beforeAutospacing="1" w:after="100" w:afterAutospacing="1" w:line="450" w:lineRule="atLeast"/>
        <w:ind w:left="1500"/>
        <w:rPr>
          <w:rFonts w:eastAsia="Times New Roman" w:cstheme="minorHAnsi"/>
          <w:sz w:val="24"/>
          <w:szCs w:val="24"/>
        </w:rPr>
      </w:pPr>
      <w:r w:rsidRPr="00864E2C">
        <w:rPr>
          <w:rFonts w:eastAsia="Times New Roman" w:cstheme="minorHAnsi"/>
          <w:sz w:val="24"/>
          <w:szCs w:val="24"/>
        </w:rPr>
        <w:t>establishment of the academic qualifications for instructional personnel;</w:t>
      </w:r>
    </w:p>
    <w:p w:rsidR="002C3301" w:rsidRDefault="00864E2C" w:rsidP="00FD62CA">
      <w:pPr>
        <w:numPr>
          <w:ilvl w:val="1"/>
          <w:numId w:val="1"/>
        </w:numPr>
        <w:shd w:val="clear" w:color="auto" w:fill="FFFFFF"/>
        <w:spacing w:before="100" w:beforeAutospacing="1" w:after="100" w:afterAutospacing="1" w:line="450" w:lineRule="atLeast"/>
        <w:ind w:left="1500"/>
      </w:pPr>
      <w:proofErr w:type="gramStart"/>
      <w:r w:rsidRPr="00864E2C">
        <w:rPr>
          <w:rFonts w:eastAsia="Times New Roman" w:cstheme="minorHAnsi"/>
          <w:sz w:val="24"/>
          <w:szCs w:val="24"/>
        </w:rPr>
        <w:t>analysis</w:t>
      </w:r>
      <w:proofErr w:type="gramEnd"/>
      <w:r w:rsidRPr="00864E2C">
        <w:rPr>
          <w:rFonts w:eastAsia="Times New Roman" w:cstheme="minorHAnsi"/>
          <w:sz w:val="24"/>
          <w:szCs w:val="24"/>
        </w:rPr>
        <w:t xml:space="preserve"> of data and appropriate action on assessment of student learning and program completion.</w:t>
      </w:r>
      <w:bookmarkStart w:id="0" w:name="_GoBack"/>
      <w:bookmarkEnd w:id="0"/>
    </w:p>
    <w:sectPr w:rsidR="002C3301" w:rsidSect="00864E2C">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96356"/>
    <w:multiLevelType w:val="multilevel"/>
    <w:tmpl w:val="6C6001A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2C"/>
    <w:rsid w:val="00387B7B"/>
    <w:rsid w:val="00696789"/>
    <w:rsid w:val="0086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D5D4"/>
  <w15:chartTrackingRefBased/>
  <w15:docId w15:val="{E74E45CB-4826-4F5A-968B-0AAD12DE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4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1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lcommission.org/Policies/assumed-practic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Sorg, Abbie</dc:creator>
  <cp:keywords/>
  <dc:description/>
  <cp:lastModifiedBy>Sorg, Abbie</cp:lastModifiedBy>
  <cp:revision>1</cp:revision>
  <dcterms:created xsi:type="dcterms:W3CDTF">2019-10-24T18:43:00Z</dcterms:created>
  <dcterms:modified xsi:type="dcterms:W3CDTF">2019-10-24T18:46:00Z</dcterms:modified>
</cp:coreProperties>
</file>