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5A" w:rsidRPr="002335F2" w:rsidRDefault="003E275A" w:rsidP="003E275A">
      <w:pPr>
        <w:spacing w:after="0" w:line="240" w:lineRule="auto"/>
        <w:jc w:val="center"/>
        <w:rPr>
          <w:rFonts w:ascii="Calibri" w:eastAsia="Times New Roman" w:hAnsi="Calibri" w:cs="Times New Roman"/>
          <w:b/>
        </w:rPr>
      </w:pPr>
      <w:r w:rsidRPr="002335F2">
        <w:rPr>
          <w:rFonts w:ascii="Calibri" w:eastAsia="Times New Roman" w:hAnsi="Calibri" w:cs="Times New Roman"/>
          <w:b/>
        </w:rPr>
        <w:t xml:space="preserve">Curriculum </w:t>
      </w:r>
      <w:r w:rsidR="00447378" w:rsidRPr="002335F2">
        <w:rPr>
          <w:rFonts w:ascii="Calibri" w:eastAsia="Times New Roman" w:hAnsi="Calibri" w:cs="Times New Roman"/>
          <w:b/>
        </w:rPr>
        <w:t xml:space="preserve">and </w:t>
      </w:r>
      <w:r w:rsidRPr="002335F2">
        <w:rPr>
          <w:rFonts w:ascii="Calibri" w:eastAsia="Times New Roman" w:hAnsi="Calibri" w:cs="Times New Roman"/>
          <w:b/>
        </w:rPr>
        <w:t>Polic</w:t>
      </w:r>
      <w:r w:rsidR="00447378" w:rsidRPr="002335F2">
        <w:rPr>
          <w:rFonts w:ascii="Calibri" w:eastAsia="Times New Roman" w:hAnsi="Calibri" w:cs="Times New Roman"/>
          <w:b/>
        </w:rPr>
        <w:t>ies Subcommittee</w:t>
      </w:r>
      <w:r w:rsidRPr="002335F2">
        <w:rPr>
          <w:rFonts w:ascii="Calibri" w:eastAsia="Times New Roman" w:hAnsi="Calibri" w:cs="Times New Roman"/>
          <w:b/>
        </w:rPr>
        <w:t xml:space="preserve"> Meeting Minutes</w:t>
      </w:r>
      <w:bookmarkStart w:id="0" w:name="_GoBack"/>
      <w:bookmarkEnd w:id="0"/>
    </w:p>
    <w:p w:rsidR="003E275A" w:rsidRPr="002335F2" w:rsidRDefault="002335F2" w:rsidP="003E275A">
      <w:pPr>
        <w:spacing w:after="0" w:line="240" w:lineRule="auto"/>
        <w:jc w:val="center"/>
        <w:rPr>
          <w:rFonts w:ascii="Calibri" w:eastAsia="Times New Roman" w:hAnsi="Calibri" w:cs="Times New Roman"/>
          <w:b/>
        </w:rPr>
      </w:pPr>
      <w:r w:rsidRPr="002335F2">
        <w:rPr>
          <w:rFonts w:ascii="Calibri" w:eastAsia="Times New Roman" w:hAnsi="Calibri" w:cs="Times New Roman"/>
          <w:b/>
        </w:rPr>
        <w:t>January</w:t>
      </w:r>
      <w:r w:rsidR="00B94737" w:rsidRPr="002335F2">
        <w:rPr>
          <w:rFonts w:ascii="Calibri" w:eastAsia="Times New Roman" w:hAnsi="Calibri" w:cs="Times New Roman"/>
          <w:b/>
        </w:rPr>
        <w:t xml:space="preserve"> 2</w:t>
      </w:r>
      <w:r w:rsidRPr="002335F2">
        <w:rPr>
          <w:rFonts w:ascii="Calibri" w:eastAsia="Times New Roman" w:hAnsi="Calibri" w:cs="Times New Roman"/>
          <w:b/>
        </w:rPr>
        <w:t>8</w:t>
      </w:r>
      <w:r w:rsidR="00AF2C2A" w:rsidRPr="002335F2">
        <w:rPr>
          <w:rFonts w:ascii="Calibri" w:eastAsia="Times New Roman" w:hAnsi="Calibri" w:cs="Times New Roman"/>
          <w:b/>
        </w:rPr>
        <w:t>,</w:t>
      </w:r>
      <w:r w:rsidRPr="002335F2">
        <w:rPr>
          <w:rFonts w:ascii="Calibri" w:eastAsia="Times New Roman" w:hAnsi="Calibri" w:cs="Times New Roman"/>
          <w:b/>
        </w:rPr>
        <w:t xml:space="preserve"> 2020</w:t>
      </w:r>
    </w:p>
    <w:p w:rsidR="003E275A" w:rsidRPr="002335F2" w:rsidRDefault="003E275A" w:rsidP="003E275A">
      <w:pPr>
        <w:spacing w:after="0" w:line="240" w:lineRule="auto"/>
        <w:jc w:val="center"/>
        <w:rPr>
          <w:rFonts w:ascii="Calibri" w:eastAsia="Times New Roman" w:hAnsi="Calibri" w:cs="Times New Roman"/>
          <w:b/>
        </w:rPr>
      </w:pPr>
    </w:p>
    <w:p w:rsidR="00127930" w:rsidRPr="002335F2" w:rsidRDefault="003E275A" w:rsidP="003E275A">
      <w:pPr>
        <w:spacing w:after="0" w:line="240" w:lineRule="auto"/>
        <w:rPr>
          <w:rFonts w:ascii="Calibri" w:eastAsia="Times New Roman" w:hAnsi="Calibri" w:cs="Times New Roman"/>
        </w:rPr>
      </w:pPr>
      <w:r w:rsidRPr="002335F2">
        <w:rPr>
          <w:rFonts w:ascii="Calibri" w:eastAsia="Times New Roman" w:hAnsi="Calibri" w:cs="Times New Roman"/>
          <w:b/>
        </w:rPr>
        <w:t xml:space="preserve">Voting Members Present: </w:t>
      </w:r>
      <w:r w:rsidR="002335F2" w:rsidRPr="002335F2">
        <w:rPr>
          <w:rFonts w:ascii="Calibri" w:eastAsia="Times New Roman" w:hAnsi="Calibri" w:cs="Times New Roman"/>
        </w:rPr>
        <w:t>Bennett Adamson,</w:t>
      </w:r>
      <w:r w:rsidR="002335F2" w:rsidRPr="002335F2">
        <w:rPr>
          <w:rFonts w:ascii="Calibri" w:eastAsia="Times New Roman" w:hAnsi="Calibri" w:cs="Times New Roman"/>
          <w:b/>
        </w:rPr>
        <w:t xml:space="preserve"> </w:t>
      </w:r>
      <w:r w:rsidR="00127930" w:rsidRPr="002335F2">
        <w:rPr>
          <w:rFonts w:ascii="Calibri" w:eastAsia="Times New Roman" w:hAnsi="Calibri" w:cs="Times New Roman"/>
        </w:rPr>
        <w:t>Chair Molly Bolger,</w:t>
      </w:r>
      <w:r w:rsidR="002335F2" w:rsidRPr="002335F2">
        <w:rPr>
          <w:rFonts w:ascii="Calibri" w:eastAsia="Times New Roman" w:hAnsi="Calibri" w:cs="Times New Roman"/>
        </w:rPr>
        <w:t xml:space="preserve"> Joan Curry,</w:t>
      </w:r>
      <w:r w:rsidR="00127930" w:rsidRPr="002335F2">
        <w:rPr>
          <w:rFonts w:ascii="Calibri" w:eastAsia="Times New Roman" w:hAnsi="Calibri" w:cs="Times New Roman"/>
        </w:rPr>
        <w:t xml:space="preserve"> Leslie Dennis, Moe Momayez, David Ortiz, Claudia Stanescu, </w:t>
      </w:r>
      <w:r w:rsidR="002335F2" w:rsidRPr="002335F2">
        <w:rPr>
          <w:rFonts w:ascii="Calibri" w:eastAsia="Times New Roman" w:hAnsi="Calibri" w:cs="Times New Roman"/>
        </w:rPr>
        <w:t xml:space="preserve">Richard </w:t>
      </w:r>
      <w:proofErr w:type="spellStart"/>
      <w:r w:rsidR="002335F2" w:rsidRPr="002335F2">
        <w:rPr>
          <w:rFonts w:ascii="Calibri" w:eastAsia="Times New Roman" w:hAnsi="Calibri" w:cs="Times New Roman"/>
        </w:rPr>
        <w:t>Vaillancourt</w:t>
      </w:r>
      <w:proofErr w:type="spellEnd"/>
      <w:r w:rsidR="002335F2" w:rsidRPr="002335F2">
        <w:rPr>
          <w:rFonts w:ascii="Calibri" w:eastAsia="Times New Roman" w:hAnsi="Calibri" w:cs="Times New Roman"/>
        </w:rPr>
        <w:t xml:space="preserve">, </w:t>
      </w:r>
      <w:r w:rsidR="00127930" w:rsidRPr="002335F2">
        <w:rPr>
          <w:rFonts w:ascii="Calibri" w:eastAsia="Times New Roman" w:hAnsi="Calibri" w:cs="Times New Roman"/>
        </w:rPr>
        <w:t>Joost Van Haren</w:t>
      </w:r>
    </w:p>
    <w:p w:rsidR="0045293F" w:rsidRPr="002335F2" w:rsidRDefault="0045293F" w:rsidP="003E275A">
      <w:pPr>
        <w:spacing w:after="0" w:line="240" w:lineRule="auto"/>
        <w:rPr>
          <w:rFonts w:ascii="Calibri" w:eastAsia="Times New Roman" w:hAnsi="Calibri" w:cs="Times New Roman"/>
          <w:b/>
        </w:rPr>
      </w:pPr>
    </w:p>
    <w:p w:rsidR="003E275A" w:rsidRPr="002335F2" w:rsidRDefault="003E275A" w:rsidP="00286AD8">
      <w:pPr>
        <w:spacing w:after="0" w:line="240" w:lineRule="auto"/>
        <w:rPr>
          <w:rFonts w:ascii="Calibri" w:eastAsia="Times New Roman" w:hAnsi="Calibri" w:cs="Times New Roman"/>
        </w:rPr>
      </w:pPr>
      <w:r w:rsidRPr="002335F2">
        <w:rPr>
          <w:rFonts w:ascii="Calibri" w:eastAsia="Times New Roman" w:hAnsi="Calibri" w:cs="Times New Roman"/>
          <w:b/>
        </w:rPr>
        <w:t xml:space="preserve">Non-voting Members Present: </w:t>
      </w:r>
      <w:r w:rsidRPr="002335F2">
        <w:rPr>
          <w:rFonts w:ascii="Calibri" w:eastAsia="Times New Roman" w:hAnsi="Calibri" w:cs="Times New Roman"/>
        </w:rPr>
        <w:t xml:space="preserve"> </w:t>
      </w:r>
      <w:r w:rsidR="00B94737" w:rsidRPr="002335F2">
        <w:rPr>
          <w:rFonts w:ascii="Calibri" w:eastAsia="Times New Roman" w:hAnsi="Calibri" w:cs="Times New Roman"/>
        </w:rPr>
        <w:t xml:space="preserve">Roxie Catts, </w:t>
      </w:r>
      <w:r w:rsidR="00447378" w:rsidRPr="002335F2">
        <w:rPr>
          <w:rFonts w:ascii="Calibri" w:eastAsia="Times New Roman" w:hAnsi="Calibri" w:cs="Times New Roman"/>
        </w:rPr>
        <w:t xml:space="preserve">Neel Ghosh, </w:t>
      </w:r>
      <w:r w:rsidR="002335F2" w:rsidRPr="002335F2">
        <w:rPr>
          <w:rFonts w:ascii="Calibri" w:eastAsia="Times New Roman" w:hAnsi="Calibri" w:cs="Times New Roman"/>
        </w:rPr>
        <w:t xml:space="preserve">Elizabeth Sandoval, </w:t>
      </w:r>
      <w:r w:rsidR="007F53BC" w:rsidRPr="002335F2">
        <w:rPr>
          <w:rFonts w:ascii="Calibri" w:eastAsia="Times New Roman" w:hAnsi="Calibri" w:cs="Times New Roman"/>
        </w:rPr>
        <w:t>Abb</w:t>
      </w:r>
      <w:r w:rsidR="00447378" w:rsidRPr="002335F2">
        <w:rPr>
          <w:rFonts w:ascii="Calibri" w:eastAsia="Times New Roman" w:hAnsi="Calibri" w:cs="Times New Roman"/>
        </w:rPr>
        <w:t>ie Sorg</w:t>
      </w:r>
      <w:r w:rsidR="004D41D1" w:rsidRPr="002335F2">
        <w:rPr>
          <w:rFonts w:ascii="Calibri" w:eastAsia="Times New Roman" w:hAnsi="Calibri" w:cs="Times New Roman"/>
        </w:rPr>
        <w:t>, Alex Underwood</w:t>
      </w:r>
    </w:p>
    <w:p w:rsidR="00B94737" w:rsidRPr="002335F2" w:rsidRDefault="00B94737" w:rsidP="00286AD8">
      <w:pPr>
        <w:spacing w:after="0" w:line="240" w:lineRule="auto"/>
        <w:rPr>
          <w:rFonts w:ascii="Calibri" w:eastAsia="Times New Roman" w:hAnsi="Calibri" w:cs="Times New Roman"/>
        </w:rPr>
      </w:pPr>
    </w:p>
    <w:p w:rsidR="00B94737" w:rsidRPr="002335F2" w:rsidRDefault="00B94737" w:rsidP="00286AD8">
      <w:pPr>
        <w:spacing w:after="0" w:line="240" w:lineRule="auto"/>
        <w:rPr>
          <w:rFonts w:ascii="Calibri" w:eastAsia="Times New Roman" w:hAnsi="Calibri" w:cs="Times New Roman"/>
        </w:rPr>
      </w:pPr>
      <w:r w:rsidRPr="002335F2">
        <w:rPr>
          <w:rFonts w:ascii="Calibri" w:eastAsia="Times New Roman" w:hAnsi="Calibri" w:cs="Times New Roman"/>
          <w:b/>
        </w:rPr>
        <w:t xml:space="preserve">Voting Members Absent: </w:t>
      </w:r>
      <w:r w:rsidR="002335F2" w:rsidRPr="002335F2">
        <w:rPr>
          <w:rFonts w:ascii="Calibri" w:eastAsia="Times New Roman" w:hAnsi="Calibri" w:cs="Times New Roman"/>
        </w:rPr>
        <w:t>Kirk Dimond</w:t>
      </w:r>
    </w:p>
    <w:p w:rsidR="00447378" w:rsidRPr="002335F2" w:rsidRDefault="00447378" w:rsidP="003E275A">
      <w:pPr>
        <w:spacing w:after="0" w:line="240" w:lineRule="auto"/>
        <w:rPr>
          <w:rFonts w:ascii="Calibri" w:eastAsia="Times New Roman" w:hAnsi="Calibri" w:cs="Times New Roman"/>
        </w:rPr>
      </w:pPr>
    </w:p>
    <w:p w:rsidR="00447378" w:rsidRPr="002335F2" w:rsidRDefault="00447378" w:rsidP="003E275A">
      <w:pPr>
        <w:spacing w:after="0" w:line="240" w:lineRule="auto"/>
        <w:rPr>
          <w:rFonts w:ascii="Calibri" w:eastAsia="Times New Roman" w:hAnsi="Calibri" w:cs="Times New Roman"/>
        </w:rPr>
      </w:pPr>
      <w:r w:rsidRPr="002335F2">
        <w:rPr>
          <w:rFonts w:ascii="Calibri" w:eastAsia="Times New Roman" w:hAnsi="Calibri" w:cs="Times New Roman"/>
          <w:b/>
        </w:rPr>
        <w:t>Guest Presenters:</w:t>
      </w:r>
      <w:r w:rsidRPr="002335F2">
        <w:rPr>
          <w:rFonts w:ascii="Calibri" w:eastAsia="Times New Roman" w:hAnsi="Calibri" w:cs="Times New Roman"/>
        </w:rPr>
        <w:t xml:space="preserve">  </w:t>
      </w:r>
      <w:r w:rsidR="002335F2" w:rsidRPr="002335F2">
        <w:rPr>
          <w:rFonts w:ascii="Calibri" w:eastAsia="Times New Roman" w:hAnsi="Calibri" w:cs="Times New Roman"/>
        </w:rPr>
        <w:t>Cori Cashen, Rob Groves, Kim Jones, Cody Nicholls</w:t>
      </w:r>
    </w:p>
    <w:p w:rsidR="003E275A" w:rsidRPr="002335F2" w:rsidRDefault="003E275A" w:rsidP="003E275A">
      <w:pPr>
        <w:pBdr>
          <w:bottom w:val="single" w:sz="12" w:space="1" w:color="auto"/>
        </w:pBdr>
        <w:spacing w:after="0" w:line="240" w:lineRule="auto"/>
        <w:rPr>
          <w:rFonts w:ascii="Calibri" w:eastAsia="Times New Roman" w:hAnsi="Calibri" w:cs="Times New Roman"/>
        </w:rPr>
      </w:pPr>
    </w:p>
    <w:p w:rsidR="003E275A" w:rsidRPr="002335F2" w:rsidRDefault="003E275A" w:rsidP="00447378">
      <w:pPr>
        <w:spacing w:after="0" w:line="240" w:lineRule="auto"/>
        <w:contextualSpacing/>
        <w:rPr>
          <w:rFonts w:ascii="Calibri" w:eastAsia="Times New Roman" w:hAnsi="Calibri" w:cs="Times New Roman"/>
        </w:rPr>
      </w:pPr>
      <w:r w:rsidRPr="002335F2">
        <w:rPr>
          <w:rFonts w:ascii="Calibri" w:eastAsia="Times New Roman" w:hAnsi="Calibri" w:cs="Times New Roman"/>
        </w:rPr>
        <w:t xml:space="preserve">Chair </w:t>
      </w:r>
      <w:r w:rsidR="00127930" w:rsidRPr="002335F2">
        <w:rPr>
          <w:rFonts w:ascii="Calibri" w:eastAsia="Times New Roman" w:hAnsi="Calibri" w:cs="Times New Roman"/>
        </w:rPr>
        <w:t>Molly Bolger</w:t>
      </w:r>
      <w:r w:rsidR="00E14D2A" w:rsidRPr="002335F2">
        <w:rPr>
          <w:rFonts w:ascii="Calibri" w:eastAsia="Times New Roman" w:hAnsi="Calibri" w:cs="Times New Roman"/>
        </w:rPr>
        <w:t xml:space="preserve"> </w:t>
      </w:r>
      <w:r w:rsidR="00A8708C" w:rsidRPr="002335F2">
        <w:rPr>
          <w:rFonts w:ascii="Calibri" w:eastAsia="Times New Roman" w:hAnsi="Calibri" w:cs="Times New Roman"/>
        </w:rPr>
        <w:t>c</w:t>
      </w:r>
      <w:r w:rsidRPr="002335F2">
        <w:rPr>
          <w:rFonts w:ascii="Calibri" w:eastAsia="Times New Roman" w:hAnsi="Calibri" w:cs="Times New Roman"/>
        </w:rPr>
        <w:t xml:space="preserve">alled the meeting to </w:t>
      </w:r>
      <w:r w:rsidR="00AF2C2A" w:rsidRPr="002335F2">
        <w:rPr>
          <w:rFonts w:ascii="Calibri" w:eastAsia="Times New Roman" w:hAnsi="Calibri" w:cs="Times New Roman"/>
        </w:rPr>
        <w:t xml:space="preserve">order at </w:t>
      </w:r>
      <w:r w:rsidR="00AF2C2A" w:rsidRPr="002335F2">
        <w:rPr>
          <w:rFonts w:ascii="Calibri" w:eastAsia="Times New Roman" w:hAnsi="Calibri" w:cs="Times New Roman"/>
        </w:rPr>
        <w:softHyphen/>
      </w:r>
      <w:r w:rsidR="00AF2C2A" w:rsidRPr="002335F2">
        <w:rPr>
          <w:rFonts w:ascii="Calibri" w:eastAsia="Times New Roman" w:hAnsi="Calibri" w:cs="Times New Roman"/>
        </w:rPr>
        <w:softHyphen/>
      </w:r>
      <w:r w:rsidR="00AF2C2A" w:rsidRPr="002335F2">
        <w:rPr>
          <w:rFonts w:ascii="Calibri" w:eastAsia="Times New Roman" w:hAnsi="Calibri" w:cs="Times New Roman"/>
        </w:rPr>
        <w:softHyphen/>
        <w:t>3:3</w:t>
      </w:r>
      <w:r w:rsidR="002335F2" w:rsidRPr="002335F2">
        <w:rPr>
          <w:rFonts w:ascii="Calibri" w:eastAsia="Times New Roman" w:hAnsi="Calibri" w:cs="Times New Roman"/>
        </w:rPr>
        <w:t>0</w:t>
      </w:r>
      <w:r w:rsidR="0045293F" w:rsidRPr="002335F2">
        <w:rPr>
          <w:rFonts w:ascii="Calibri" w:eastAsia="Times New Roman" w:hAnsi="Calibri" w:cs="Times New Roman"/>
        </w:rPr>
        <w:t xml:space="preserve"> </w:t>
      </w:r>
      <w:r w:rsidRPr="002335F2">
        <w:rPr>
          <w:rFonts w:ascii="Calibri" w:eastAsia="Times New Roman" w:hAnsi="Calibri" w:cs="Times New Roman"/>
        </w:rPr>
        <w:t xml:space="preserve">p.m. </w:t>
      </w:r>
      <w:r w:rsidR="00E06022" w:rsidRPr="002335F2">
        <w:rPr>
          <w:rFonts w:ascii="Calibri" w:eastAsia="Times New Roman" w:hAnsi="Calibri" w:cs="Times New Roman"/>
        </w:rPr>
        <w:t xml:space="preserve"> </w:t>
      </w:r>
      <w:r w:rsidR="00E14D2A" w:rsidRPr="002335F2">
        <w:rPr>
          <w:rFonts w:ascii="Calibri" w:eastAsia="Times New Roman" w:hAnsi="Calibri" w:cs="Times New Roman"/>
        </w:rPr>
        <w:t>A</w:t>
      </w:r>
      <w:r w:rsidR="00681FB4" w:rsidRPr="002335F2">
        <w:rPr>
          <w:rFonts w:ascii="Calibri" w:eastAsia="Times New Roman" w:hAnsi="Calibri" w:cs="Times New Roman"/>
        </w:rPr>
        <w:t xml:space="preserve"> quorum was established with </w:t>
      </w:r>
      <w:r w:rsidR="002335F2" w:rsidRPr="002335F2">
        <w:rPr>
          <w:rFonts w:ascii="Calibri" w:eastAsia="Times New Roman" w:hAnsi="Calibri" w:cs="Times New Roman"/>
        </w:rPr>
        <w:t>7</w:t>
      </w:r>
      <w:r w:rsidR="00A8708C" w:rsidRPr="002335F2">
        <w:rPr>
          <w:rFonts w:ascii="Calibri" w:eastAsia="Times New Roman" w:hAnsi="Calibri" w:cs="Times New Roman"/>
        </w:rPr>
        <w:t xml:space="preserve"> </w:t>
      </w:r>
      <w:r w:rsidR="00E14D2A" w:rsidRPr="002335F2">
        <w:rPr>
          <w:rFonts w:ascii="Calibri" w:eastAsia="Times New Roman" w:hAnsi="Calibri" w:cs="Times New Roman"/>
        </w:rPr>
        <w:t>voting members</w:t>
      </w:r>
      <w:r w:rsidR="0045293F" w:rsidRPr="002335F2">
        <w:rPr>
          <w:rFonts w:ascii="Calibri" w:eastAsia="Times New Roman" w:hAnsi="Calibri" w:cs="Times New Roman"/>
        </w:rPr>
        <w:t>.</w:t>
      </w:r>
      <w:r w:rsidR="002335F2" w:rsidRPr="002335F2">
        <w:rPr>
          <w:rFonts w:ascii="Calibri" w:eastAsia="Times New Roman" w:hAnsi="Calibri" w:cs="Times New Roman"/>
        </w:rPr>
        <w:t xml:space="preserve"> Two</w:t>
      </w:r>
      <w:r w:rsidR="00B94737" w:rsidRPr="002335F2">
        <w:rPr>
          <w:rFonts w:ascii="Calibri" w:eastAsia="Times New Roman" w:hAnsi="Calibri" w:cs="Times New Roman"/>
        </w:rPr>
        <w:t xml:space="preserve"> additional member</w:t>
      </w:r>
      <w:r w:rsidR="002335F2" w:rsidRPr="002335F2">
        <w:rPr>
          <w:rFonts w:ascii="Calibri" w:eastAsia="Times New Roman" w:hAnsi="Calibri" w:cs="Times New Roman"/>
        </w:rPr>
        <w:t>s</w:t>
      </w:r>
      <w:r w:rsidR="00B94737" w:rsidRPr="002335F2">
        <w:rPr>
          <w:rFonts w:ascii="Calibri" w:eastAsia="Times New Roman" w:hAnsi="Calibri" w:cs="Times New Roman"/>
        </w:rPr>
        <w:t xml:space="preserve"> arrived after the approval of the minutes.</w:t>
      </w:r>
    </w:p>
    <w:p w:rsidR="003E47D4" w:rsidRPr="002335F2" w:rsidRDefault="003E47D4" w:rsidP="00407AF3">
      <w:pPr>
        <w:spacing w:after="0" w:line="240" w:lineRule="auto"/>
        <w:contextualSpacing/>
        <w:rPr>
          <w:rFonts w:ascii="Calibri" w:eastAsia="Times New Roman" w:hAnsi="Calibri" w:cs="Times New Roman"/>
        </w:rPr>
      </w:pPr>
    </w:p>
    <w:p w:rsidR="00661460" w:rsidRPr="002335F2" w:rsidRDefault="00661460" w:rsidP="00661460">
      <w:pPr>
        <w:numPr>
          <w:ilvl w:val="0"/>
          <w:numId w:val="1"/>
        </w:numPr>
        <w:spacing w:after="0" w:line="240" w:lineRule="auto"/>
        <w:ind w:left="360" w:hanging="360"/>
        <w:contextualSpacing/>
        <w:rPr>
          <w:rFonts w:ascii="Calibri" w:eastAsia="Times New Roman" w:hAnsi="Calibri" w:cs="Times New Roman"/>
          <w:b/>
        </w:rPr>
      </w:pPr>
      <w:r w:rsidRPr="002335F2">
        <w:rPr>
          <w:rFonts w:ascii="Calibri" w:eastAsia="Times New Roman" w:hAnsi="Calibri" w:cs="Times New Roman"/>
          <w:b/>
        </w:rPr>
        <w:t xml:space="preserve">Approval of Curriculum &amp; Policies Subcommittee meeting minutes, </w:t>
      </w:r>
      <w:r w:rsidR="002335F2" w:rsidRPr="002335F2">
        <w:rPr>
          <w:rFonts w:ascii="Calibri" w:eastAsia="Times New Roman" w:hAnsi="Calibri" w:cs="Times New Roman"/>
          <w:b/>
        </w:rPr>
        <w:t>11</w:t>
      </w:r>
      <w:r w:rsidR="00B94737" w:rsidRPr="002335F2">
        <w:rPr>
          <w:rFonts w:ascii="Calibri" w:eastAsia="Times New Roman" w:hAnsi="Calibri" w:cs="Times New Roman"/>
          <w:b/>
        </w:rPr>
        <w:t>/2</w:t>
      </w:r>
      <w:r w:rsidR="002335F2" w:rsidRPr="002335F2">
        <w:rPr>
          <w:rFonts w:ascii="Calibri" w:eastAsia="Times New Roman" w:hAnsi="Calibri" w:cs="Times New Roman"/>
          <w:b/>
        </w:rPr>
        <w:t>6</w:t>
      </w:r>
      <w:r w:rsidR="00B94737" w:rsidRPr="002335F2">
        <w:rPr>
          <w:rFonts w:ascii="Calibri" w:eastAsia="Times New Roman" w:hAnsi="Calibri" w:cs="Times New Roman"/>
          <w:b/>
        </w:rPr>
        <w:t>/19</w:t>
      </w:r>
    </w:p>
    <w:p w:rsidR="00661460" w:rsidRPr="002335F2" w:rsidRDefault="00B94737" w:rsidP="00661460">
      <w:pPr>
        <w:spacing w:after="0" w:line="240" w:lineRule="auto"/>
        <w:ind w:left="360"/>
        <w:contextualSpacing/>
        <w:rPr>
          <w:rFonts w:ascii="Calibri" w:eastAsia="Times New Roman" w:hAnsi="Calibri" w:cs="Times New Roman"/>
        </w:rPr>
      </w:pPr>
      <w:r w:rsidRPr="002335F2">
        <w:rPr>
          <w:rFonts w:ascii="Calibri" w:eastAsia="Times New Roman" w:hAnsi="Calibri" w:cs="Times New Roman"/>
        </w:rPr>
        <w:t>Claudia Stanescu</w:t>
      </w:r>
      <w:r w:rsidR="00661460" w:rsidRPr="002335F2">
        <w:rPr>
          <w:rFonts w:ascii="Calibri" w:eastAsia="Times New Roman" w:hAnsi="Calibri" w:cs="Times New Roman"/>
        </w:rPr>
        <w:t xml:space="preserve"> moved to accept the meeting minutes from </w:t>
      </w:r>
      <w:r w:rsidR="002335F2" w:rsidRPr="002335F2">
        <w:rPr>
          <w:rFonts w:ascii="Calibri" w:eastAsia="Times New Roman" w:hAnsi="Calibri" w:cs="Times New Roman"/>
        </w:rPr>
        <w:t>11</w:t>
      </w:r>
      <w:r w:rsidRPr="002335F2">
        <w:rPr>
          <w:rFonts w:ascii="Calibri" w:eastAsia="Times New Roman" w:hAnsi="Calibri" w:cs="Times New Roman"/>
        </w:rPr>
        <w:t>/2</w:t>
      </w:r>
      <w:r w:rsidR="002335F2" w:rsidRPr="002335F2">
        <w:rPr>
          <w:rFonts w:ascii="Calibri" w:eastAsia="Times New Roman" w:hAnsi="Calibri" w:cs="Times New Roman"/>
        </w:rPr>
        <w:t>6</w:t>
      </w:r>
      <w:r w:rsidRPr="002335F2">
        <w:rPr>
          <w:rFonts w:ascii="Calibri" w:eastAsia="Times New Roman" w:hAnsi="Calibri" w:cs="Times New Roman"/>
        </w:rPr>
        <w:t xml:space="preserve">/19 </w:t>
      </w:r>
      <w:r w:rsidR="00661460" w:rsidRPr="002335F2">
        <w:rPr>
          <w:rFonts w:ascii="Calibri" w:eastAsia="Times New Roman" w:hAnsi="Calibri" w:cs="Times New Roman"/>
        </w:rPr>
        <w:t xml:space="preserve">as </w:t>
      </w:r>
      <w:r w:rsidR="002335F2" w:rsidRPr="002335F2">
        <w:rPr>
          <w:rFonts w:ascii="Calibri" w:eastAsia="Times New Roman" w:hAnsi="Calibri" w:cs="Times New Roman"/>
        </w:rPr>
        <w:t>submitted</w:t>
      </w:r>
      <w:r w:rsidR="00661460" w:rsidRPr="002335F2">
        <w:rPr>
          <w:rFonts w:ascii="Calibri" w:eastAsia="Times New Roman" w:hAnsi="Calibri" w:cs="Times New Roman"/>
        </w:rPr>
        <w:t xml:space="preserve">. </w:t>
      </w:r>
      <w:r w:rsidRPr="002335F2">
        <w:rPr>
          <w:rFonts w:ascii="Calibri" w:eastAsia="Times New Roman" w:hAnsi="Calibri" w:cs="Times New Roman"/>
        </w:rPr>
        <w:t>David Ortiz</w:t>
      </w:r>
      <w:r w:rsidR="00661460" w:rsidRPr="002335F2">
        <w:rPr>
          <w:rFonts w:ascii="Calibri" w:eastAsia="Times New Roman" w:hAnsi="Calibri" w:cs="Times New Roman"/>
        </w:rPr>
        <w:t xml:space="preserve"> seconded the motion. </w:t>
      </w:r>
      <w:r w:rsidR="002335F2" w:rsidRPr="002335F2">
        <w:rPr>
          <w:rFonts w:ascii="Calibri" w:eastAsia="Times New Roman" w:hAnsi="Calibri" w:cs="Times New Roman"/>
        </w:rPr>
        <w:t>The</w:t>
      </w:r>
      <w:r w:rsidR="00661460" w:rsidRPr="002335F2">
        <w:rPr>
          <w:rFonts w:ascii="Calibri" w:eastAsia="Times New Roman" w:hAnsi="Calibri" w:cs="Times New Roman"/>
        </w:rPr>
        <w:t xml:space="preserve"> motion passed </w:t>
      </w:r>
      <w:r w:rsidRPr="002335F2">
        <w:rPr>
          <w:rFonts w:ascii="Calibri" w:eastAsia="Times New Roman" w:hAnsi="Calibri" w:cs="Times New Roman"/>
        </w:rPr>
        <w:t>with 5</w:t>
      </w:r>
      <w:r w:rsidR="00661460" w:rsidRPr="002335F2">
        <w:rPr>
          <w:rFonts w:ascii="Calibri" w:eastAsia="Times New Roman" w:hAnsi="Calibri" w:cs="Times New Roman"/>
        </w:rPr>
        <w:t xml:space="preserve"> votes in favor</w:t>
      </w:r>
      <w:r w:rsidRPr="002335F2">
        <w:rPr>
          <w:rFonts w:ascii="Calibri" w:eastAsia="Times New Roman" w:hAnsi="Calibri" w:cs="Times New Roman"/>
        </w:rPr>
        <w:t xml:space="preserve"> and </w:t>
      </w:r>
      <w:r w:rsidR="002335F2" w:rsidRPr="002335F2">
        <w:rPr>
          <w:rFonts w:ascii="Calibri" w:eastAsia="Times New Roman" w:hAnsi="Calibri" w:cs="Times New Roman"/>
        </w:rPr>
        <w:t>2</w:t>
      </w:r>
      <w:r w:rsidRPr="002335F2">
        <w:rPr>
          <w:rFonts w:ascii="Calibri" w:eastAsia="Times New Roman" w:hAnsi="Calibri" w:cs="Times New Roman"/>
        </w:rPr>
        <w:t xml:space="preserve"> abstention</w:t>
      </w:r>
      <w:r w:rsidR="002335F2" w:rsidRPr="002335F2">
        <w:rPr>
          <w:rFonts w:ascii="Calibri" w:eastAsia="Times New Roman" w:hAnsi="Calibri" w:cs="Times New Roman"/>
        </w:rPr>
        <w:t>s</w:t>
      </w:r>
      <w:r w:rsidR="00661460" w:rsidRPr="002335F2">
        <w:rPr>
          <w:rFonts w:ascii="Calibri" w:eastAsia="Times New Roman" w:hAnsi="Calibri" w:cs="Times New Roman"/>
        </w:rPr>
        <w:t xml:space="preserve">. </w:t>
      </w:r>
    </w:p>
    <w:p w:rsidR="00661460" w:rsidRPr="002335F2" w:rsidRDefault="00661460" w:rsidP="00661460">
      <w:pPr>
        <w:spacing w:after="0" w:line="240" w:lineRule="auto"/>
        <w:ind w:left="360"/>
        <w:contextualSpacing/>
        <w:rPr>
          <w:rFonts w:ascii="Calibri" w:eastAsia="Times New Roman" w:hAnsi="Calibri" w:cs="Times New Roman"/>
          <w:b/>
        </w:rPr>
      </w:pPr>
    </w:p>
    <w:p w:rsidR="00661460" w:rsidRPr="002335F2" w:rsidRDefault="00661460" w:rsidP="00661460">
      <w:pPr>
        <w:spacing w:after="0" w:line="240" w:lineRule="auto"/>
        <w:ind w:left="360"/>
        <w:contextualSpacing/>
        <w:rPr>
          <w:rFonts w:ascii="Calibri" w:eastAsia="Times New Roman" w:hAnsi="Calibri" w:cs="Times New Roman"/>
          <w:b/>
        </w:rPr>
      </w:pPr>
    </w:p>
    <w:p w:rsidR="003E275A" w:rsidRPr="002335F2" w:rsidRDefault="00F9329E" w:rsidP="00F74BC1">
      <w:pPr>
        <w:numPr>
          <w:ilvl w:val="0"/>
          <w:numId w:val="1"/>
        </w:numPr>
        <w:spacing w:after="0" w:line="240" w:lineRule="auto"/>
        <w:ind w:left="360" w:hanging="360"/>
        <w:contextualSpacing/>
        <w:rPr>
          <w:rFonts w:ascii="Calibri" w:eastAsia="Times New Roman" w:hAnsi="Calibri" w:cs="Times New Roman"/>
          <w:b/>
        </w:rPr>
      </w:pPr>
      <w:r w:rsidRPr="002335F2">
        <w:rPr>
          <w:rFonts w:ascii="Calibri" w:eastAsia="Times New Roman" w:hAnsi="Calibri" w:cs="Times New Roman"/>
          <w:b/>
        </w:rPr>
        <w:t>Policy Proposals</w:t>
      </w:r>
    </w:p>
    <w:p w:rsidR="009824C0" w:rsidRPr="002335F2" w:rsidRDefault="00E14D2A" w:rsidP="007A1E06">
      <w:pPr>
        <w:numPr>
          <w:ilvl w:val="1"/>
          <w:numId w:val="9"/>
        </w:numPr>
        <w:spacing w:after="0" w:line="240" w:lineRule="auto"/>
        <w:ind w:left="720"/>
        <w:contextualSpacing/>
        <w:rPr>
          <w:rFonts w:ascii="Calibri" w:eastAsia="Times New Roman" w:hAnsi="Calibri" w:cs="Times New Roman"/>
          <w:b/>
        </w:rPr>
      </w:pPr>
      <w:r w:rsidRPr="002335F2">
        <w:rPr>
          <w:rFonts w:ascii="Calibri" w:eastAsia="Times New Roman" w:hAnsi="Calibri" w:cs="Times New Roman"/>
          <w:b/>
        </w:rPr>
        <w:t>Prop</w:t>
      </w:r>
      <w:r w:rsidR="0045293F" w:rsidRPr="002335F2">
        <w:rPr>
          <w:rFonts w:ascii="Calibri" w:eastAsia="Times New Roman" w:hAnsi="Calibri" w:cs="Times New Roman"/>
          <w:b/>
        </w:rPr>
        <w:t>o</w:t>
      </w:r>
      <w:r w:rsidR="009824C0" w:rsidRPr="002335F2">
        <w:rPr>
          <w:rFonts w:ascii="Calibri" w:eastAsia="Times New Roman" w:hAnsi="Calibri" w:cs="Times New Roman"/>
          <w:b/>
        </w:rPr>
        <w:t xml:space="preserve">sal </w:t>
      </w:r>
      <w:r w:rsidR="007A1E06" w:rsidRPr="002335F2">
        <w:rPr>
          <w:rFonts w:ascii="Calibri" w:eastAsia="Times New Roman" w:hAnsi="Calibri" w:cs="Times New Roman"/>
          <w:b/>
        </w:rPr>
        <w:t xml:space="preserve">to </w:t>
      </w:r>
      <w:r w:rsidR="002335F2" w:rsidRPr="002335F2">
        <w:rPr>
          <w:rFonts w:ascii="Calibri" w:eastAsia="Times New Roman" w:hAnsi="Calibri" w:cs="Times New Roman"/>
          <w:b/>
        </w:rPr>
        <w:t>create a Military Excused Absence</w:t>
      </w:r>
      <w:r w:rsidR="00263BBE" w:rsidRPr="002335F2">
        <w:rPr>
          <w:rFonts w:ascii="Calibri" w:eastAsia="Times New Roman" w:hAnsi="Calibri" w:cs="Times New Roman"/>
          <w:b/>
        </w:rPr>
        <w:t xml:space="preserve"> Policy</w:t>
      </w:r>
      <w:r w:rsidR="007A1E06" w:rsidRPr="002335F2">
        <w:rPr>
          <w:rFonts w:ascii="Calibri" w:eastAsia="Times New Roman" w:hAnsi="Calibri" w:cs="Times New Roman"/>
          <w:b/>
        </w:rPr>
        <w:t xml:space="preserve"> </w:t>
      </w:r>
      <w:r w:rsidRPr="002335F2">
        <w:rPr>
          <w:rFonts w:ascii="Calibri" w:eastAsia="Times New Roman" w:hAnsi="Calibri" w:cs="Times New Roman"/>
          <w:b/>
        </w:rPr>
        <w:t xml:space="preserve"> </w:t>
      </w:r>
      <w:r w:rsidR="003E275A" w:rsidRPr="002335F2">
        <w:rPr>
          <w:rFonts w:ascii="Calibri" w:eastAsia="Times New Roman" w:hAnsi="Calibri" w:cs="Times New Roman"/>
          <w:b/>
        </w:rPr>
        <w:t xml:space="preserve">– </w:t>
      </w:r>
      <w:r w:rsidR="0045293F" w:rsidRPr="002335F2">
        <w:rPr>
          <w:rFonts w:ascii="Calibri" w:eastAsia="Calibri" w:hAnsi="Calibri" w:cs="Times New Roman"/>
        </w:rPr>
        <w:t xml:space="preserve">submitted by </w:t>
      </w:r>
      <w:r w:rsidR="002335F2" w:rsidRPr="002335F2">
        <w:rPr>
          <w:rFonts w:ascii="Calibri" w:eastAsia="Calibri" w:hAnsi="Calibri" w:cs="Times New Roman"/>
        </w:rPr>
        <w:t>the Office of the Registrar and Dean of Students- Military and Veteran Engagement</w:t>
      </w:r>
    </w:p>
    <w:p w:rsidR="00600398" w:rsidRPr="00B24826" w:rsidRDefault="0045293F" w:rsidP="00FD0C00">
      <w:pPr>
        <w:spacing w:after="0" w:line="240" w:lineRule="auto"/>
        <w:ind w:left="720"/>
        <w:contextualSpacing/>
        <w:rPr>
          <w:rFonts w:ascii="Calibri" w:eastAsia="Times New Roman" w:hAnsi="Calibri" w:cs="Times New Roman"/>
        </w:rPr>
      </w:pPr>
      <w:r w:rsidRPr="00B24826">
        <w:rPr>
          <w:rFonts w:ascii="Calibri" w:eastAsia="Times New Roman" w:hAnsi="Calibri" w:cs="Times New Roman"/>
          <w:b/>
        </w:rPr>
        <w:t>Presenter</w:t>
      </w:r>
      <w:r w:rsidR="002335F2" w:rsidRPr="00B24826">
        <w:rPr>
          <w:rFonts w:ascii="Calibri" w:eastAsia="Times New Roman" w:hAnsi="Calibri" w:cs="Times New Roman"/>
          <w:b/>
        </w:rPr>
        <w:t>s</w:t>
      </w:r>
      <w:r w:rsidRPr="00B24826">
        <w:rPr>
          <w:rFonts w:ascii="Calibri" w:eastAsia="Times New Roman" w:hAnsi="Calibri" w:cs="Times New Roman"/>
          <w:b/>
        </w:rPr>
        <w:t>:</w:t>
      </w:r>
      <w:r w:rsidRPr="00B24826">
        <w:rPr>
          <w:rFonts w:ascii="Calibri" w:eastAsia="Times New Roman" w:hAnsi="Calibri" w:cs="Times New Roman"/>
        </w:rPr>
        <w:t xml:space="preserve"> </w:t>
      </w:r>
      <w:r w:rsidR="002335F2" w:rsidRPr="00B24826">
        <w:rPr>
          <w:rFonts w:ascii="Calibri" w:eastAsia="Times New Roman" w:hAnsi="Calibri" w:cs="Times New Roman"/>
        </w:rPr>
        <w:t>Cody Nicholls, Assistant Dean of Students; Cori Cashen, Associate Registrar</w:t>
      </w:r>
      <w:r w:rsidR="00127930" w:rsidRPr="00B24826">
        <w:rPr>
          <w:rFonts w:ascii="Calibri" w:eastAsia="Times New Roman" w:hAnsi="Calibri" w:cs="Times New Roman"/>
        </w:rPr>
        <w:t xml:space="preserve"> </w:t>
      </w:r>
    </w:p>
    <w:p w:rsidR="0045293F" w:rsidRPr="0010681B" w:rsidRDefault="0045293F" w:rsidP="0045293F">
      <w:pPr>
        <w:spacing w:after="0" w:line="240" w:lineRule="auto"/>
        <w:ind w:left="720"/>
        <w:contextualSpacing/>
        <w:rPr>
          <w:rFonts w:ascii="Calibri" w:eastAsia="Times New Roman" w:hAnsi="Calibri" w:cs="Times New Roman"/>
        </w:rPr>
      </w:pPr>
    </w:p>
    <w:p w:rsidR="00830D6A" w:rsidRPr="0010681B" w:rsidRDefault="00830D6A" w:rsidP="002335F2">
      <w:pPr>
        <w:ind w:left="720"/>
      </w:pPr>
      <w:r w:rsidRPr="0010681B">
        <w:t>This policy proposal was drafted in order to comply with a Memorandum of Understanding between the University of Arizona and the Department of Defense</w:t>
      </w:r>
      <w:r w:rsidR="0099737F" w:rsidRPr="0010681B">
        <w:t>.</w:t>
      </w:r>
      <w:r w:rsidRPr="0010681B">
        <w:t xml:space="preserve"> This is the only adjustment to policy needed to maintain compliance with the MOU, to make provisions for “Service members that are temporarily unable to attend classes for less than 30 days within a semester or similar enrollment period due to a Military service obligation.” </w:t>
      </w:r>
    </w:p>
    <w:p w:rsidR="0099737F" w:rsidRPr="0010681B" w:rsidRDefault="00830D6A" w:rsidP="002335F2">
      <w:pPr>
        <w:ind w:left="720"/>
      </w:pPr>
      <w:r w:rsidRPr="0010681B">
        <w:t>It is expected that this policy will impact a very small number of students, around 1-2 per semester, based on those students’ drill schedules. The students that will be impacted are gen</w:t>
      </w:r>
      <w:r w:rsidR="00B24826" w:rsidRPr="0010681B">
        <w:t xml:space="preserve">erally reservists, who may receive their drill schedules at the end of September, after they’ve begun classes for the </w:t>
      </w:r>
      <w:proofErr w:type="gramStart"/>
      <w:r w:rsidR="00B24826" w:rsidRPr="0010681B">
        <w:t>Fall</w:t>
      </w:r>
      <w:proofErr w:type="gramEnd"/>
      <w:r w:rsidR="00B24826" w:rsidRPr="0010681B">
        <w:t xml:space="preserve"> semester. This usually results in students missing a few days of class, and needing to work with their instructors to address those absences.</w:t>
      </w:r>
    </w:p>
    <w:p w:rsidR="000E589D" w:rsidRPr="0010681B" w:rsidRDefault="000E589D" w:rsidP="00E454EB">
      <w:pPr>
        <w:spacing w:after="0" w:line="240" w:lineRule="auto"/>
        <w:ind w:left="720"/>
        <w:contextualSpacing/>
        <w:rPr>
          <w:rFonts w:ascii="Calibri" w:eastAsia="Times New Roman" w:hAnsi="Calibri" w:cs="Times New Roman"/>
        </w:rPr>
      </w:pPr>
    </w:p>
    <w:p w:rsidR="008B4A57" w:rsidRPr="0010681B" w:rsidRDefault="00362E27" w:rsidP="009D2AE1">
      <w:pPr>
        <w:spacing w:after="0" w:line="240" w:lineRule="auto"/>
        <w:ind w:left="720"/>
        <w:contextualSpacing/>
        <w:rPr>
          <w:rFonts w:ascii="Calibri" w:eastAsia="Times New Roman" w:hAnsi="Calibri" w:cs="Times New Roman"/>
        </w:rPr>
      </w:pPr>
      <w:r w:rsidRPr="0010681B">
        <w:rPr>
          <w:rFonts w:ascii="Calibri" w:eastAsia="Times New Roman" w:hAnsi="Calibri" w:cs="Times New Roman"/>
          <w:u w:val="single"/>
        </w:rPr>
        <w:t>Discussion c</w:t>
      </w:r>
      <w:r w:rsidR="008B4A57" w:rsidRPr="0010681B">
        <w:rPr>
          <w:rFonts w:ascii="Calibri" w:eastAsia="Times New Roman" w:hAnsi="Calibri" w:cs="Times New Roman"/>
          <w:u w:val="single"/>
        </w:rPr>
        <w:t>ommenced</w:t>
      </w:r>
      <w:r w:rsidR="008B4A57" w:rsidRPr="0010681B">
        <w:rPr>
          <w:rFonts w:ascii="Calibri" w:eastAsia="Times New Roman" w:hAnsi="Calibri" w:cs="Times New Roman"/>
        </w:rPr>
        <w:t>:</w:t>
      </w:r>
    </w:p>
    <w:p w:rsidR="00AF2C2A" w:rsidRPr="0010681B" w:rsidRDefault="00B24826" w:rsidP="00F02355">
      <w:pPr>
        <w:pStyle w:val="ListParagraph"/>
        <w:numPr>
          <w:ilvl w:val="0"/>
          <w:numId w:val="12"/>
        </w:numPr>
        <w:spacing w:after="0" w:line="240" w:lineRule="auto"/>
        <w:rPr>
          <w:rFonts w:ascii="Calibri" w:eastAsia="Times New Roman" w:hAnsi="Calibri" w:cs="Times New Roman"/>
        </w:rPr>
      </w:pPr>
      <w:r w:rsidRPr="0010681B">
        <w:rPr>
          <w:rFonts w:ascii="Calibri" w:eastAsia="Times New Roman" w:hAnsi="Calibri" w:cs="Times New Roman"/>
        </w:rPr>
        <w:t>The policy specifies absences of up to 30 days, though the presenters focused on shorter absences of only a few days. What would account for a month-long absence? This is a less likely situation, but could be possible in cases of national emergency like natural disasters when reservists can be called for longer periods. The most common use case will be shorter absences for scheduled training drills.</w:t>
      </w:r>
    </w:p>
    <w:p w:rsidR="004570DA" w:rsidRPr="0010681B" w:rsidRDefault="00B24826" w:rsidP="0010681B">
      <w:pPr>
        <w:pStyle w:val="ListParagraph"/>
        <w:numPr>
          <w:ilvl w:val="0"/>
          <w:numId w:val="12"/>
        </w:numPr>
        <w:spacing w:after="0" w:line="240" w:lineRule="auto"/>
        <w:rPr>
          <w:rFonts w:ascii="Calibri" w:eastAsia="Times New Roman" w:hAnsi="Calibri" w:cs="Times New Roman"/>
        </w:rPr>
      </w:pPr>
      <w:r w:rsidRPr="0010681B">
        <w:rPr>
          <w:rFonts w:ascii="Calibri" w:eastAsia="Times New Roman" w:hAnsi="Calibri" w:cs="Times New Roman"/>
        </w:rPr>
        <w:t>Is there a way absences of this nature could be folded into the existing Dean’s Excuse procedures</w:t>
      </w:r>
      <w:r w:rsidR="00CD5CC8" w:rsidRPr="0010681B">
        <w:rPr>
          <w:rFonts w:ascii="Calibri" w:eastAsia="Times New Roman" w:hAnsi="Calibri" w:cs="Times New Roman"/>
        </w:rPr>
        <w:t xml:space="preserve">, to reduce the number of policies and procedures faculty members need to be familiar with? Dean’s Excuses are meant only for university-related absences, so military-related absences are outside of that scope. The Dean of Students office walks through the process with service member students and their instructors when these situations arise, and will continue to do so once the policy is in place. This involvement sometimes takes the form of consulting </w:t>
      </w:r>
      <w:r w:rsidR="0010681B" w:rsidRPr="0010681B">
        <w:rPr>
          <w:rFonts w:ascii="Calibri" w:eastAsia="Times New Roman" w:hAnsi="Calibri" w:cs="Times New Roman"/>
        </w:rPr>
        <w:t xml:space="preserve">with the student </w:t>
      </w:r>
      <w:r w:rsidR="00CD5CC8" w:rsidRPr="0010681B">
        <w:rPr>
          <w:rFonts w:ascii="Calibri" w:eastAsia="Times New Roman" w:hAnsi="Calibri" w:cs="Times New Roman"/>
        </w:rPr>
        <w:t xml:space="preserve">to determine whether the best path forward is </w:t>
      </w:r>
      <w:r w:rsidR="0010681B" w:rsidRPr="0010681B">
        <w:rPr>
          <w:rFonts w:ascii="Calibri" w:eastAsia="Times New Roman" w:hAnsi="Calibri" w:cs="Times New Roman"/>
        </w:rPr>
        <w:t xml:space="preserve">to withdraw from courses or to take an incomplete until they can return to finish their coursework. </w:t>
      </w:r>
      <w:r w:rsidR="00CD5CC8" w:rsidRPr="0010681B">
        <w:rPr>
          <w:rFonts w:ascii="Calibri" w:eastAsia="Times New Roman" w:hAnsi="Calibri" w:cs="Times New Roman"/>
        </w:rPr>
        <w:t>The Registrar and the Dean of Students offices can work together to create a form similar to the Dean’s Excuse form to make the process as simple for faculty to navigate as possible.</w:t>
      </w:r>
      <w:r w:rsidR="0010681B" w:rsidRPr="0010681B">
        <w:rPr>
          <w:rFonts w:ascii="Calibri" w:eastAsia="Times New Roman" w:hAnsi="Calibri" w:cs="Times New Roman"/>
        </w:rPr>
        <w:t xml:space="preserve"> Faculty should not need to become familiar with reading students’ military orders; the Dean of Students will continue to liaise with faculty to make this process simple.</w:t>
      </w:r>
    </w:p>
    <w:p w:rsidR="00074353" w:rsidRPr="002335F2" w:rsidRDefault="00074353" w:rsidP="004A1BA5">
      <w:pPr>
        <w:pStyle w:val="ListParagraph"/>
        <w:spacing w:after="0" w:line="240" w:lineRule="auto"/>
        <w:ind w:left="1080"/>
        <w:rPr>
          <w:rFonts w:ascii="Calibri" w:eastAsia="Times New Roman" w:hAnsi="Calibri" w:cs="Times New Roman"/>
          <w:color w:val="FF0000"/>
        </w:rPr>
      </w:pPr>
    </w:p>
    <w:p w:rsidR="00D95E67" w:rsidRPr="002F6AC6" w:rsidRDefault="002F6AC6" w:rsidP="00D95E67">
      <w:pPr>
        <w:spacing w:after="0" w:line="240" w:lineRule="auto"/>
        <w:ind w:left="720"/>
        <w:rPr>
          <w:rFonts w:ascii="Calibri" w:eastAsia="Times New Roman" w:hAnsi="Calibri" w:cs="Times New Roman"/>
          <w:b/>
        </w:rPr>
      </w:pPr>
      <w:r w:rsidRPr="002F6AC6">
        <w:rPr>
          <w:rFonts w:ascii="Calibri" w:eastAsia="Times New Roman" w:hAnsi="Calibri" w:cs="Times New Roman"/>
          <w:b/>
        </w:rPr>
        <w:t>Joost Van Haren</w:t>
      </w:r>
      <w:r w:rsidRPr="002F6AC6">
        <w:rPr>
          <w:rFonts w:ascii="Calibri" w:eastAsia="Times New Roman" w:hAnsi="Calibri" w:cs="Times New Roman"/>
          <w:b/>
        </w:rPr>
        <w:t xml:space="preserve"> moved to approve the proposal </w:t>
      </w:r>
      <w:r w:rsidRPr="002F6AC6">
        <w:rPr>
          <w:rFonts w:ascii="Calibri" w:eastAsia="Times New Roman" w:hAnsi="Calibri" w:cs="Times New Roman"/>
          <w:b/>
        </w:rPr>
        <w:t>as submitted,</w:t>
      </w:r>
      <w:r w:rsidRPr="002F6AC6">
        <w:rPr>
          <w:rFonts w:ascii="Calibri" w:eastAsia="Times New Roman" w:hAnsi="Calibri" w:cs="Times New Roman"/>
          <w:b/>
        </w:rPr>
        <w:t xml:space="preserve"> and </w:t>
      </w:r>
      <w:r w:rsidRPr="002F6AC6">
        <w:rPr>
          <w:rFonts w:ascii="Calibri" w:eastAsia="Times New Roman" w:hAnsi="Calibri" w:cs="Times New Roman"/>
          <w:b/>
        </w:rPr>
        <w:t>Claudia Stanescu</w:t>
      </w:r>
      <w:r w:rsidRPr="002F6AC6">
        <w:rPr>
          <w:rFonts w:ascii="Calibri" w:eastAsia="Times New Roman" w:hAnsi="Calibri" w:cs="Times New Roman"/>
          <w:b/>
        </w:rPr>
        <w:t xml:space="preserve"> seconded the motion.  The motion passed unanimously with </w:t>
      </w:r>
      <w:r w:rsidRPr="002F6AC6">
        <w:rPr>
          <w:rFonts w:ascii="Calibri" w:eastAsia="Times New Roman" w:hAnsi="Calibri" w:cs="Times New Roman"/>
          <w:b/>
        </w:rPr>
        <w:t>9</w:t>
      </w:r>
      <w:r w:rsidRPr="002F6AC6">
        <w:rPr>
          <w:rFonts w:ascii="Calibri" w:eastAsia="Times New Roman" w:hAnsi="Calibri" w:cs="Times New Roman"/>
          <w:b/>
        </w:rPr>
        <w:t xml:space="preserve"> votes in favor.</w:t>
      </w:r>
    </w:p>
    <w:p w:rsidR="00074353" w:rsidRPr="002335F2" w:rsidRDefault="00EE4F33" w:rsidP="00AB4B28">
      <w:pPr>
        <w:spacing w:after="0" w:line="240" w:lineRule="auto"/>
        <w:rPr>
          <w:rFonts w:ascii="Calibri" w:eastAsia="Times New Roman" w:hAnsi="Calibri" w:cs="Times New Roman"/>
          <w:b/>
          <w:color w:val="FF0000"/>
        </w:rPr>
      </w:pPr>
      <w:r w:rsidRPr="002335F2">
        <w:rPr>
          <w:rFonts w:ascii="Calibri" w:eastAsia="Times New Roman" w:hAnsi="Calibri" w:cs="Times New Roman"/>
          <w:b/>
          <w:color w:val="FF0000"/>
        </w:rPr>
        <w:t xml:space="preserve"> </w:t>
      </w:r>
    </w:p>
    <w:p w:rsidR="00D77459" w:rsidRPr="002335F2" w:rsidRDefault="00D77459" w:rsidP="00AF2C2A">
      <w:pPr>
        <w:spacing w:after="0" w:line="240" w:lineRule="auto"/>
        <w:rPr>
          <w:rFonts w:ascii="Calibri" w:eastAsia="Times New Roman" w:hAnsi="Calibri" w:cs="Times New Roman"/>
          <w:b/>
          <w:color w:val="FF0000"/>
        </w:rPr>
      </w:pPr>
    </w:p>
    <w:p w:rsidR="00AF2C2A" w:rsidRPr="00AA7CBE" w:rsidRDefault="007D2D14" w:rsidP="00F9329E">
      <w:pPr>
        <w:pStyle w:val="ListParagraph"/>
        <w:numPr>
          <w:ilvl w:val="0"/>
          <w:numId w:val="18"/>
        </w:numPr>
        <w:spacing w:after="0" w:line="240" w:lineRule="auto"/>
        <w:ind w:left="720"/>
        <w:rPr>
          <w:rFonts w:ascii="Calibri" w:eastAsia="Times New Roman" w:hAnsi="Calibri" w:cs="Times New Roman"/>
          <w:b/>
        </w:rPr>
      </w:pPr>
      <w:r w:rsidRPr="00AA7CBE">
        <w:rPr>
          <w:rFonts w:ascii="Calibri" w:eastAsia="Times New Roman" w:hAnsi="Calibri" w:cs="Times New Roman"/>
          <w:b/>
        </w:rPr>
        <w:lastRenderedPageBreak/>
        <w:t>Proposal</w:t>
      </w:r>
      <w:r w:rsidR="00D64B3F" w:rsidRPr="00AA7CBE">
        <w:rPr>
          <w:rFonts w:ascii="Calibri" w:eastAsia="Times New Roman" w:hAnsi="Calibri" w:cs="Times New Roman"/>
          <w:b/>
        </w:rPr>
        <w:t xml:space="preserve"> to </w:t>
      </w:r>
      <w:r w:rsidR="002335F2" w:rsidRPr="00AA7CBE">
        <w:rPr>
          <w:rFonts w:ascii="Calibri" w:eastAsia="Times New Roman" w:hAnsi="Calibri" w:cs="Times New Roman"/>
          <w:b/>
        </w:rPr>
        <w:t>Eliminate the 18 of Final 30 Units in Residence Policy</w:t>
      </w:r>
      <w:r w:rsidRPr="00AA7CBE">
        <w:rPr>
          <w:rFonts w:ascii="Calibri" w:eastAsia="Times New Roman" w:hAnsi="Calibri" w:cs="Times New Roman"/>
          <w:b/>
        </w:rPr>
        <w:t xml:space="preserve"> </w:t>
      </w:r>
      <w:r w:rsidR="00AF2C2A" w:rsidRPr="00AA7CBE">
        <w:rPr>
          <w:rFonts w:ascii="Calibri" w:eastAsia="Times New Roman" w:hAnsi="Calibri" w:cs="Times New Roman"/>
          <w:b/>
        </w:rPr>
        <w:t>–</w:t>
      </w:r>
      <w:r w:rsidR="00AF2C2A" w:rsidRPr="00AA7CBE">
        <w:rPr>
          <w:rFonts w:ascii="Calibri" w:eastAsia="Calibri" w:hAnsi="Calibri" w:cs="Times New Roman"/>
        </w:rPr>
        <w:t xml:space="preserve"> submitted by </w:t>
      </w:r>
      <w:r w:rsidR="00AA7CBE" w:rsidRPr="00AA7CBE">
        <w:rPr>
          <w:rFonts w:ascii="Calibri" w:eastAsia="Calibri" w:hAnsi="Calibri" w:cs="Times New Roman"/>
        </w:rPr>
        <w:t>University Academic Advising Council</w:t>
      </w:r>
    </w:p>
    <w:p w:rsidR="00AF2C2A" w:rsidRPr="000D2C6B" w:rsidRDefault="00AF2C2A" w:rsidP="00AF2C2A">
      <w:pPr>
        <w:spacing w:after="0" w:line="240" w:lineRule="auto"/>
        <w:ind w:left="720"/>
        <w:contextualSpacing/>
        <w:rPr>
          <w:rFonts w:ascii="Calibri" w:eastAsia="Times New Roman" w:hAnsi="Calibri" w:cs="Times New Roman"/>
        </w:rPr>
      </w:pPr>
      <w:r w:rsidRPr="00AA7CBE">
        <w:rPr>
          <w:rFonts w:ascii="Calibri" w:eastAsia="Times New Roman" w:hAnsi="Calibri" w:cs="Times New Roman"/>
          <w:b/>
        </w:rPr>
        <w:t>Presenter:</w:t>
      </w:r>
      <w:r w:rsidRPr="00AA7CBE">
        <w:rPr>
          <w:rFonts w:ascii="Calibri" w:eastAsia="Times New Roman" w:hAnsi="Calibri" w:cs="Times New Roman"/>
        </w:rPr>
        <w:t xml:space="preserve"> </w:t>
      </w:r>
      <w:r w:rsidR="00AA7CBE" w:rsidRPr="000D2C6B">
        <w:rPr>
          <w:rFonts w:ascii="Calibri" w:eastAsia="Times New Roman" w:hAnsi="Calibri" w:cs="Times New Roman"/>
        </w:rPr>
        <w:t>Roxie Catts</w:t>
      </w:r>
      <w:r w:rsidR="00D64B3F" w:rsidRPr="000D2C6B">
        <w:rPr>
          <w:rFonts w:ascii="Calibri" w:eastAsia="Times New Roman" w:hAnsi="Calibri" w:cs="Times New Roman"/>
        </w:rPr>
        <w:t xml:space="preserve">, </w:t>
      </w:r>
      <w:r w:rsidR="00AA7CBE" w:rsidRPr="000D2C6B">
        <w:rPr>
          <w:rFonts w:ascii="Calibri" w:eastAsia="Times New Roman" w:hAnsi="Calibri" w:cs="Times New Roman"/>
        </w:rPr>
        <w:t>Director, Advising Resource Center</w:t>
      </w:r>
    </w:p>
    <w:p w:rsidR="00AF2C2A" w:rsidRPr="000D2C6B" w:rsidRDefault="00AF2C2A" w:rsidP="00AF2C2A">
      <w:pPr>
        <w:spacing w:after="0" w:line="240" w:lineRule="auto"/>
        <w:ind w:left="720"/>
        <w:contextualSpacing/>
        <w:rPr>
          <w:rFonts w:ascii="Calibri" w:eastAsia="Times New Roman" w:hAnsi="Calibri" w:cs="Times New Roman"/>
        </w:rPr>
      </w:pPr>
    </w:p>
    <w:p w:rsidR="00D1615E" w:rsidRPr="00DE2C8D" w:rsidRDefault="00876103" w:rsidP="001A397B">
      <w:pPr>
        <w:spacing w:after="0" w:line="240" w:lineRule="auto"/>
        <w:ind w:left="720"/>
        <w:contextualSpacing/>
        <w:rPr>
          <w:rFonts w:ascii="Calibri" w:eastAsia="Times New Roman" w:hAnsi="Calibri" w:cs="Times New Roman"/>
        </w:rPr>
      </w:pPr>
      <w:r w:rsidRPr="000D2C6B">
        <w:rPr>
          <w:rFonts w:ascii="Calibri" w:eastAsia="Times New Roman" w:hAnsi="Calibri" w:cs="Times New Roman"/>
        </w:rPr>
        <w:t>This update to the Units in Residence policy was proposed because the current policy is outdated and is increasingly an unnecessary roadblock to graduating students</w:t>
      </w:r>
      <w:r w:rsidR="00BA0CF2" w:rsidRPr="000D2C6B">
        <w:rPr>
          <w:rFonts w:ascii="Calibri" w:eastAsia="Times New Roman" w:hAnsi="Calibri" w:cs="Times New Roman"/>
        </w:rPr>
        <w:t>.</w:t>
      </w:r>
      <w:r w:rsidRPr="000D2C6B">
        <w:rPr>
          <w:rFonts w:ascii="Calibri" w:eastAsia="Times New Roman" w:hAnsi="Calibri" w:cs="Times New Roman"/>
        </w:rPr>
        <w:t xml:space="preserve"> While the original reasons for the current policy can no longer be recalled, the policy is problematic for multiple populations: students at </w:t>
      </w:r>
      <w:proofErr w:type="spellStart"/>
      <w:r w:rsidRPr="000D2C6B">
        <w:rPr>
          <w:rFonts w:ascii="Calibri" w:eastAsia="Times New Roman" w:hAnsi="Calibri" w:cs="Times New Roman"/>
        </w:rPr>
        <w:t>microcampuses</w:t>
      </w:r>
      <w:proofErr w:type="spellEnd"/>
      <w:r w:rsidRPr="000D2C6B">
        <w:rPr>
          <w:rFonts w:ascii="Calibri" w:eastAsia="Times New Roman" w:hAnsi="Calibri" w:cs="Times New Roman"/>
        </w:rPr>
        <w:t>, students transferring 2</w:t>
      </w:r>
      <w:r w:rsidRPr="000D2C6B">
        <w:rPr>
          <w:rFonts w:ascii="Calibri" w:eastAsia="Times New Roman" w:hAnsi="Calibri" w:cs="Times New Roman"/>
          <w:vertAlign w:val="superscript"/>
        </w:rPr>
        <w:t>nd</w:t>
      </w:r>
      <w:r w:rsidRPr="000D2C6B">
        <w:rPr>
          <w:rFonts w:ascii="Calibri" w:eastAsia="Times New Roman" w:hAnsi="Calibri" w:cs="Times New Roman"/>
        </w:rPr>
        <w:t xml:space="preserve"> language coursework from other institutions, students studying abroad, and students in the College of Applied Science and Technology. The policy </w:t>
      </w:r>
      <w:r w:rsidR="000D2C6B" w:rsidRPr="000D2C6B">
        <w:rPr>
          <w:rFonts w:ascii="Calibri" w:eastAsia="Times New Roman" w:hAnsi="Calibri" w:cs="Times New Roman"/>
        </w:rPr>
        <w:t xml:space="preserve">cannot be enforced by the advisement report, and manual enforcement is labor-intensive and inconsistent. The enforcement of the policy ends up being a financial or academic burden for students who end up needing to take a heavy load during their final semester or take additional courses over the summer in order to satisfy the requirement. Since most majors already include specific units in residence requirements on their advisement report, it should not be problematic to remove the “18 of the final 30 units” </w:t>
      </w:r>
      <w:r w:rsidR="000D2C6B" w:rsidRPr="00DE2C8D">
        <w:rPr>
          <w:rFonts w:ascii="Calibri" w:eastAsia="Times New Roman" w:hAnsi="Calibri" w:cs="Times New Roman"/>
        </w:rPr>
        <w:t>requirement altogether.</w:t>
      </w:r>
    </w:p>
    <w:p w:rsidR="00AF2C2A" w:rsidRPr="00DE2C8D" w:rsidRDefault="00AF2C2A" w:rsidP="00E63396">
      <w:pPr>
        <w:spacing w:after="0" w:line="240" w:lineRule="auto"/>
        <w:contextualSpacing/>
        <w:rPr>
          <w:rFonts w:ascii="Calibri" w:eastAsia="Times New Roman" w:hAnsi="Calibri" w:cs="Times New Roman"/>
        </w:rPr>
      </w:pPr>
    </w:p>
    <w:p w:rsidR="00AF2C2A" w:rsidRPr="00DE2C8D" w:rsidRDefault="00AF2C2A" w:rsidP="008C3F57">
      <w:pPr>
        <w:spacing w:after="0" w:line="240" w:lineRule="auto"/>
        <w:ind w:left="720"/>
        <w:contextualSpacing/>
        <w:rPr>
          <w:rFonts w:ascii="Calibri" w:eastAsia="Times New Roman" w:hAnsi="Calibri" w:cs="Times New Roman"/>
        </w:rPr>
      </w:pPr>
      <w:r w:rsidRPr="00DE2C8D">
        <w:rPr>
          <w:rFonts w:ascii="Calibri" w:eastAsia="Times New Roman" w:hAnsi="Calibri" w:cs="Times New Roman"/>
          <w:u w:val="single"/>
        </w:rPr>
        <w:t>Discuss</w:t>
      </w:r>
      <w:r w:rsidR="001852A5" w:rsidRPr="00DE2C8D">
        <w:rPr>
          <w:rFonts w:ascii="Calibri" w:eastAsia="Times New Roman" w:hAnsi="Calibri" w:cs="Times New Roman"/>
          <w:u w:val="single"/>
        </w:rPr>
        <w:t>ion c</w:t>
      </w:r>
      <w:r w:rsidRPr="00DE2C8D">
        <w:rPr>
          <w:rFonts w:ascii="Calibri" w:eastAsia="Times New Roman" w:hAnsi="Calibri" w:cs="Times New Roman"/>
          <w:u w:val="single"/>
        </w:rPr>
        <w:t>ommenced</w:t>
      </w:r>
      <w:r w:rsidRPr="00DE2C8D">
        <w:rPr>
          <w:rFonts w:ascii="Calibri" w:eastAsia="Times New Roman" w:hAnsi="Calibri" w:cs="Times New Roman"/>
        </w:rPr>
        <w:t>:</w:t>
      </w:r>
    </w:p>
    <w:p w:rsidR="0070600C" w:rsidRPr="00DE2C8D" w:rsidRDefault="000D2C6B" w:rsidP="00AA7CBE">
      <w:pPr>
        <w:pStyle w:val="ListParagraph"/>
        <w:numPr>
          <w:ilvl w:val="0"/>
          <w:numId w:val="12"/>
        </w:numPr>
        <w:spacing w:after="0" w:line="240" w:lineRule="auto"/>
        <w:rPr>
          <w:rFonts w:ascii="Calibri" w:eastAsia="Times New Roman" w:hAnsi="Calibri" w:cs="Times New Roman"/>
          <w:b/>
        </w:rPr>
      </w:pPr>
      <w:r w:rsidRPr="00DE2C8D">
        <w:rPr>
          <w:rFonts w:ascii="Calibri" w:eastAsia="Times New Roman" w:hAnsi="Calibri" w:cs="Times New Roman"/>
        </w:rPr>
        <w:t>Would removing this requirement be a problem for the university’s accreditation? No; the HLC standard is that 25% of all coursework needs to be from the awarding institution. Since we would not be removing the requirement for 30 units in residence, removing the time-based 18 unit requirement would not be a problem.</w:t>
      </w:r>
    </w:p>
    <w:p w:rsidR="00621E8E" w:rsidRPr="00DE2C8D" w:rsidRDefault="000D2C6B" w:rsidP="00621E8E">
      <w:pPr>
        <w:pStyle w:val="ListParagraph"/>
        <w:numPr>
          <w:ilvl w:val="0"/>
          <w:numId w:val="12"/>
        </w:numPr>
        <w:spacing w:after="0" w:line="240" w:lineRule="auto"/>
        <w:rPr>
          <w:rFonts w:ascii="Calibri" w:eastAsia="Times New Roman" w:hAnsi="Calibri" w:cs="Times New Roman"/>
          <w:b/>
        </w:rPr>
      </w:pPr>
      <w:r w:rsidRPr="00DE2C8D">
        <w:rPr>
          <w:rFonts w:ascii="Calibri" w:eastAsia="Times New Roman" w:hAnsi="Calibri" w:cs="Times New Roman"/>
        </w:rPr>
        <w:t xml:space="preserve">It’s likely that the original policy was created in order to ensure that </w:t>
      </w:r>
      <w:r w:rsidR="00621E8E" w:rsidRPr="00DE2C8D">
        <w:rPr>
          <w:rFonts w:ascii="Calibri" w:eastAsia="Times New Roman" w:hAnsi="Calibri" w:cs="Times New Roman"/>
        </w:rPr>
        <w:t>students graduating from the UA had received a UA education. If students take their upper division coursework elsewhere, should they really receive a UA degree? What if the policy were updated to instead specify that a certain number of the 30 required units in residence must be upper division units? That might help alleviate the concern about students taking the bulk of their final years at another institution, without having to legislate when the units in residence are taken.</w:t>
      </w:r>
    </w:p>
    <w:p w:rsidR="00A44F87" w:rsidRPr="00DE2C8D" w:rsidRDefault="0070600C" w:rsidP="00621E8E">
      <w:pPr>
        <w:pStyle w:val="ListParagraph"/>
        <w:numPr>
          <w:ilvl w:val="0"/>
          <w:numId w:val="12"/>
        </w:numPr>
        <w:spacing w:after="0" w:line="240" w:lineRule="auto"/>
        <w:rPr>
          <w:rFonts w:ascii="Calibri" w:eastAsia="Times New Roman" w:hAnsi="Calibri" w:cs="Times New Roman"/>
          <w:b/>
        </w:rPr>
      </w:pPr>
      <w:r w:rsidRPr="00DE2C8D">
        <w:rPr>
          <w:rFonts w:ascii="Calibri" w:eastAsia="Times New Roman" w:hAnsi="Calibri" w:cs="Times New Roman"/>
        </w:rPr>
        <w:t xml:space="preserve">The committee agreed that the following </w:t>
      </w:r>
      <w:r w:rsidR="00621E8E" w:rsidRPr="00DE2C8D">
        <w:rPr>
          <w:rFonts w:ascii="Calibri" w:eastAsia="Times New Roman" w:hAnsi="Calibri" w:cs="Times New Roman"/>
        </w:rPr>
        <w:t>adjustments</w:t>
      </w:r>
      <w:r w:rsidRPr="00DE2C8D">
        <w:rPr>
          <w:rFonts w:ascii="Calibri" w:eastAsia="Times New Roman" w:hAnsi="Calibri" w:cs="Times New Roman"/>
        </w:rPr>
        <w:t xml:space="preserve"> should be made to the language</w:t>
      </w:r>
      <w:r w:rsidR="00621E8E" w:rsidRPr="00DE2C8D">
        <w:rPr>
          <w:rFonts w:ascii="Calibri" w:eastAsia="Times New Roman" w:hAnsi="Calibri" w:cs="Times New Roman"/>
        </w:rPr>
        <w:t xml:space="preserve"> of the proposed policy update</w:t>
      </w:r>
      <w:r w:rsidRPr="00DE2C8D">
        <w:rPr>
          <w:rFonts w:ascii="Calibri" w:eastAsia="Times New Roman" w:hAnsi="Calibri" w:cs="Times New Roman"/>
        </w:rPr>
        <w:t>:</w:t>
      </w:r>
    </w:p>
    <w:p w:rsidR="0070600C" w:rsidRPr="00DE2C8D" w:rsidRDefault="00621E8E" w:rsidP="0070600C">
      <w:pPr>
        <w:pStyle w:val="ListParagraph"/>
        <w:numPr>
          <w:ilvl w:val="1"/>
          <w:numId w:val="12"/>
        </w:numPr>
        <w:spacing w:after="0" w:line="240" w:lineRule="auto"/>
        <w:rPr>
          <w:rFonts w:ascii="Calibri" w:eastAsia="Times New Roman" w:hAnsi="Calibri" w:cs="Times New Roman"/>
        </w:rPr>
      </w:pPr>
      <w:r w:rsidRPr="00DE2C8D">
        <w:rPr>
          <w:rFonts w:ascii="Calibri" w:eastAsia="Times New Roman" w:hAnsi="Calibri" w:cs="Times New Roman"/>
        </w:rPr>
        <w:t xml:space="preserve">Remove “It is further required that 18 of the final 30 units offered toward the degree be University Credit. In other words, no more than 12 of the final 30 units to complete the degree may be credit by exam (i.e., CLEP, Special Examination for Credit), or transfer credit.” </w:t>
      </w:r>
    </w:p>
    <w:p w:rsidR="00DE2C8D" w:rsidRPr="00DE2C8D" w:rsidRDefault="00621E8E" w:rsidP="00DE2C8D">
      <w:pPr>
        <w:pStyle w:val="ListParagraph"/>
        <w:numPr>
          <w:ilvl w:val="1"/>
          <w:numId w:val="12"/>
        </w:numPr>
        <w:spacing w:after="0" w:line="240" w:lineRule="auto"/>
        <w:rPr>
          <w:rFonts w:ascii="Calibri" w:eastAsia="Times New Roman" w:hAnsi="Calibri" w:cs="Times New Roman"/>
        </w:rPr>
      </w:pPr>
      <w:r w:rsidRPr="00DE2C8D">
        <w:rPr>
          <w:rFonts w:ascii="Calibri" w:eastAsia="Times New Roman" w:hAnsi="Calibri" w:cs="Times New Roman"/>
        </w:rPr>
        <w:t>Add “of those 30 units, 18 must be in Upper Division (300-400 level) coursework.”</w:t>
      </w:r>
    </w:p>
    <w:p w:rsidR="00F00CEE" w:rsidRPr="002F6AC6" w:rsidRDefault="00F00CEE" w:rsidP="00F00CEE">
      <w:pPr>
        <w:spacing w:after="0" w:line="240" w:lineRule="auto"/>
        <w:rPr>
          <w:rFonts w:ascii="Calibri" w:eastAsia="Times New Roman" w:hAnsi="Calibri" w:cs="Times New Roman"/>
        </w:rPr>
      </w:pPr>
    </w:p>
    <w:p w:rsidR="00A44F87" w:rsidRPr="002F6AC6" w:rsidRDefault="002F6AC6" w:rsidP="00233F98">
      <w:pPr>
        <w:spacing w:after="0" w:line="240" w:lineRule="auto"/>
        <w:ind w:left="720"/>
        <w:rPr>
          <w:rFonts w:ascii="Calibri" w:eastAsia="Times New Roman" w:hAnsi="Calibri" w:cs="Times New Roman"/>
          <w:b/>
        </w:rPr>
      </w:pPr>
      <w:r w:rsidRPr="002F6AC6">
        <w:rPr>
          <w:rFonts w:ascii="Calibri" w:eastAsia="Times New Roman" w:hAnsi="Calibri" w:cs="Times New Roman"/>
          <w:b/>
        </w:rPr>
        <w:t>David Ortiz</w:t>
      </w:r>
      <w:r w:rsidR="00306B7E" w:rsidRPr="002F6AC6">
        <w:rPr>
          <w:rFonts w:ascii="Calibri" w:eastAsia="Times New Roman" w:hAnsi="Calibri" w:cs="Times New Roman"/>
          <w:b/>
        </w:rPr>
        <w:t xml:space="preserve"> </w:t>
      </w:r>
      <w:r w:rsidR="00233F98" w:rsidRPr="002F6AC6">
        <w:rPr>
          <w:rFonts w:ascii="Calibri" w:eastAsia="Times New Roman" w:hAnsi="Calibri" w:cs="Times New Roman"/>
          <w:b/>
        </w:rPr>
        <w:t>moved to</w:t>
      </w:r>
      <w:r w:rsidR="002A668F" w:rsidRPr="002F6AC6">
        <w:rPr>
          <w:rFonts w:ascii="Calibri" w:eastAsia="Times New Roman" w:hAnsi="Calibri" w:cs="Times New Roman"/>
          <w:b/>
        </w:rPr>
        <w:t xml:space="preserve"> approve the proposal</w:t>
      </w:r>
      <w:r w:rsidR="001852A5" w:rsidRPr="002F6AC6">
        <w:rPr>
          <w:rFonts w:ascii="Calibri" w:eastAsia="Times New Roman" w:hAnsi="Calibri" w:cs="Times New Roman"/>
          <w:b/>
        </w:rPr>
        <w:t xml:space="preserve"> </w:t>
      </w:r>
      <w:r w:rsidR="00BE5469" w:rsidRPr="002F6AC6">
        <w:rPr>
          <w:rFonts w:ascii="Calibri" w:eastAsia="Times New Roman" w:hAnsi="Calibri" w:cs="Times New Roman"/>
          <w:b/>
        </w:rPr>
        <w:t>pending updates to the language</w:t>
      </w:r>
      <w:r w:rsidR="00565DD1" w:rsidRPr="002F6AC6">
        <w:rPr>
          <w:rFonts w:ascii="Calibri" w:eastAsia="Times New Roman" w:hAnsi="Calibri" w:cs="Times New Roman"/>
          <w:b/>
        </w:rPr>
        <w:t xml:space="preserve"> as listed above</w:t>
      </w:r>
      <w:r w:rsidR="00233F98" w:rsidRPr="002F6AC6">
        <w:rPr>
          <w:rFonts w:ascii="Calibri" w:eastAsia="Times New Roman" w:hAnsi="Calibri" w:cs="Times New Roman"/>
          <w:b/>
        </w:rPr>
        <w:t xml:space="preserve">, and </w:t>
      </w:r>
      <w:r w:rsidRPr="002F6AC6">
        <w:rPr>
          <w:rFonts w:ascii="Calibri" w:eastAsia="Times New Roman" w:hAnsi="Calibri" w:cs="Times New Roman"/>
          <w:b/>
        </w:rPr>
        <w:t>Claudia Stanescu</w:t>
      </w:r>
      <w:r w:rsidR="00233F98" w:rsidRPr="002F6AC6">
        <w:rPr>
          <w:rFonts w:ascii="Calibri" w:eastAsia="Times New Roman" w:hAnsi="Calibri" w:cs="Times New Roman"/>
          <w:b/>
        </w:rPr>
        <w:t xml:space="preserve"> seconded the motion. </w:t>
      </w:r>
      <w:r w:rsidR="002A668F" w:rsidRPr="002F6AC6">
        <w:rPr>
          <w:rFonts w:ascii="Calibri" w:eastAsia="Times New Roman" w:hAnsi="Calibri" w:cs="Times New Roman"/>
          <w:b/>
        </w:rPr>
        <w:t xml:space="preserve"> </w:t>
      </w:r>
      <w:r w:rsidR="00233F98" w:rsidRPr="002F6AC6">
        <w:rPr>
          <w:rFonts w:ascii="Calibri" w:eastAsia="Times New Roman" w:hAnsi="Calibri" w:cs="Times New Roman"/>
          <w:b/>
        </w:rPr>
        <w:t xml:space="preserve">The motion </w:t>
      </w:r>
      <w:r w:rsidR="002A668F" w:rsidRPr="002F6AC6">
        <w:rPr>
          <w:rFonts w:ascii="Calibri" w:eastAsia="Times New Roman" w:hAnsi="Calibri" w:cs="Times New Roman"/>
          <w:b/>
        </w:rPr>
        <w:t>passed</w:t>
      </w:r>
      <w:r w:rsidRPr="002F6AC6">
        <w:rPr>
          <w:rFonts w:ascii="Calibri" w:eastAsia="Times New Roman" w:hAnsi="Calibri" w:cs="Times New Roman"/>
          <w:b/>
        </w:rPr>
        <w:t xml:space="preserve"> unanimously with 9</w:t>
      </w:r>
      <w:r w:rsidR="00233F98" w:rsidRPr="002F6AC6">
        <w:rPr>
          <w:rFonts w:ascii="Calibri" w:eastAsia="Times New Roman" w:hAnsi="Calibri" w:cs="Times New Roman"/>
          <w:b/>
        </w:rPr>
        <w:t xml:space="preserve"> votes in favor. </w:t>
      </w:r>
    </w:p>
    <w:p w:rsidR="00D64B3F" w:rsidRPr="002335F2" w:rsidRDefault="00D64B3F" w:rsidP="00233F98">
      <w:pPr>
        <w:spacing w:after="0" w:line="240" w:lineRule="auto"/>
        <w:ind w:left="720"/>
        <w:rPr>
          <w:rFonts w:ascii="Calibri" w:eastAsia="Times New Roman" w:hAnsi="Calibri" w:cs="Times New Roman"/>
          <w:b/>
          <w:color w:val="FF0000"/>
        </w:rPr>
      </w:pPr>
    </w:p>
    <w:p w:rsidR="00D64B3F" w:rsidRPr="002335F2" w:rsidRDefault="00D64B3F" w:rsidP="00233F98">
      <w:pPr>
        <w:spacing w:after="0" w:line="240" w:lineRule="auto"/>
        <w:ind w:left="720"/>
        <w:rPr>
          <w:rFonts w:ascii="Calibri" w:eastAsia="Times New Roman" w:hAnsi="Calibri" w:cs="Times New Roman"/>
          <w:b/>
          <w:color w:val="FF0000"/>
        </w:rPr>
      </w:pPr>
    </w:p>
    <w:p w:rsidR="00D64B3F" w:rsidRPr="00AA7CBE" w:rsidRDefault="00AA7CBE" w:rsidP="00D64B3F">
      <w:pPr>
        <w:pStyle w:val="ListParagraph"/>
        <w:numPr>
          <w:ilvl w:val="0"/>
          <w:numId w:val="18"/>
        </w:numPr>
        <w:spacing w:after="0" w:line="240" w:lineRule="auto"/>
        <w:ind w:left="720"/>
        <w:rPr>
          <w:rFonts w:ascii="Calibri" w:eastAsia="Times New Roman" w:hAnsi="Calibri" w:cs="Times New Roman"/>
          <w:b/>
        </w:rPr>
      </w:pPr>
      <w:r w:rsidRPr="00AA7CBE">
        <w:rPr>
          <w:rFonts w:ascii="Calibri" w:eastAsia="Times New Roman" w:hAnsi="Calibri" w:cs="Times New Roman"/>
          <w:b/>
        </w:rPr>
        <w:t>Proposal to amend the General Education Second Language Requirement Policy</w:t>
      </w:r>
      <w:r w:rsidR="00D64B3F" w:rsidRPr="00AA7CBE">
        <w:rPr>
          <w:rFonts w:ascii="Calibri" w:eastAsia="Times New Roman" w:hAnsi="Calibri" w:cs="Times New Roman"/>
          <w:b/>
        </w:rPr>
        <w:t xml:space="preserve"> –</w:t>
      </w:r>
      <w:r w:rsidR="00D64B3F" w:rsidRPr="00AA7CBE">
        <w:rPr>
          <w:rFonts w:ascii="Calibri" w:eastAsia="Calibri" w:hAnsi="Calibri" w:cs="Times New Roman"/>
        </w:rPr>
        <w:t xml:space="preserve"> </w:t>
      </w:r>
      <w:r w:rsidRPr="00AA7CBE">
        <w:rPr>
          <w:rFonts w:ascii="Calibri" w:eastAsia="Calibri" w:hAnsi="Calibri" w:cs="Times New Roman"/>
        </w:rPr>
        <w:t>submitted</w:t>
      </w:r>
      <w:r w:rsidR="00D64B3F" w:rsidRPr="00AA7CBE">
        <w:rPr>
          <w:rFonts w:ascii="Calibri" w:eastAsia="Calibri" w:hAnsi="Calibri" w:cs="Times New Roman"/>
        </w:rPr>
        <w:t xml:space="preserve"> by </w:t>
      </w:r>
      <w:r w:rsidRPr="00AA7CBE">
        <w:rPr>
          <w:rFonts w:ascii="Calibri" w:eastAsia="Calibri" w:hAnsi="Calibri" w:cs="Times New Roman"/>
        </w:rPr>
        <w:t>University-Wide General Education Committee</w:t>
      </w:r>
      <w:r w:rsidR="00FC78FA" w:rsidRPr="00AA7CBE">
        <w:rPr>
          <w:rFonts w:ascii="Calibri" w:eastAsia="Calibri" w:hAnsi="Calibri" w:cs="Times New Roman"/>
        </w:rPr>
        <w:t xml:space="preserve"> </w:t>
      </w:r>
    </w:p>
    <w:p w:rsidR="00D64B3F" w:rsidRPr="00AA7CBE" w:rsidRDefault="00D64B3F" w:rsidP="00D64B3F">
      <w:pPr>
        <w:spacing w:after="0" w:line="240" w:lineRule="auto"/>
        <w:ind w:left="720"/>
        <w:contextualSpacing/>
        <w:rPr>
          <w:rFonts w:ascii="Calibri" w:eastAsia="Times New Roman" w:hAnsi="Calibri" w:cs="Times New Roman"/>
        </w:rPr>
      </w:pPr>
      <w:r w:rsidRPr="00AA7CBE">
        <w:rPr>
          <w:rFonts w:ascii="Calibri" w:eastAsia="Times New Roman" w:hAnsi="Calibri" w:cs="Times New Roman"/>
          <w:b/>
        </w:rPr>
        <w:t>Presenter</w:t>
      </w:r>
      <w:r w:rsidR="00AA7CBE" w:rsidRPr="00AA7CBE">
        <w:rPr>
          <w:rFonts w:ascii="Calibri" w:eastAsia="Times New Roman" w:hAnsi="Calibri" w:cs="Times New Roman"/>
          <w:b/>
        </w:rPr>
        <w:t>s</w:t>
      </w:r>
      <w:r w:rsidRPr="00AA7CBE">
        <w:rPr>
          <w:rFonts w:ascii="Calibri" w:eastAsia="Times New Roman" w:hAnsi="Calibri" w:cs="Times New Roman"/>
          <w:b/>
        </w:rPr>
        <w:t>:</w:t>
      </w:r>
      <w:r w:rsidRPr="00AA7CBE">
        <w:rPr>
          <w:rFonts w:ascii="Calibri" w:eastAsia="Times New Roman" w:hAnsi="Calibri" w:cs="Times New Roman"/>
        </w:rPr>
        <w:t xml:space="preserve"> </w:t>
      </w:r>
      <w:r w:rsidR="00AA7CBE" w:rsidRPr="00AA7CBE">
        <w:rPr>
          <w:rFonts w:ascii="Calibri" w:eastAsia="Times New Roman" w:hAnsi="Calibri" w:cs="Times New Roman"/>
        </w:rPr>
        <w:t>Kim Jones, Vice Dean, College of Humanities; Rob Groves</w:t>
      </w:r>
      <w:r w:rsidRPr="00AA7CBE">
        <w:rPr>
          <w:rFonts w:ascii="Calibri" w:eastAsia="Times New Roman" w:hAnsi="Calibri" w:cs="Times New Roman"/>
        </w:rPr>
        <w:t xml:space="preserve">, </w:t>
      </w:r>
      <w:r w:rsidR="00AA7CBE" w:rsidRPr="00AA7CBE">
        <w:rPr>
          <w:rFonts w:ascii="Calibri" w:eastAsia="Times New Roman" w:hAnsi="Calibri" w:cs="Times New Roman"/>
        </w:rPr>
        <w:t>Assistant Professor, Religious Studies</w:t>
      </w:r>
    </w:p>
    <w:p w:rsidR="00D64B3F" w:rsidRPr="002335F2" w:rsidRDefault="00D64B3F" w:rsidP="00D64B3F">
      <w:pPr>
        <w:spacing w:after="0" w:line="240" w:lineRule="auto"/>
        <w:ind w:left="720"/>
        <w:contextualSpacing/>
        <w:rPr>
          <w:rFonts w:ascii="Calibri" w:eastAsia="Times New Roman" w:hAnsi="Calibri" w:cs="Times New Roman"/>
          <w:color w:val="FF0000"/>
        </w:rPr>
      </w:pPr>
    </w:p>
    <w:p w:rsidR="00D64B3F" w:rsidRPr="0099041E" w:rsidRDefault="00F506C4" w:rsidP="00D64B3F">
      <w:pPr>
        <w:spacing w:after="0" w:line="240" w:lineRule="auto"/>
        <w:ind w:left="720"/>
        <w:contextualSpacing/>
        <w:rPr>
          <w:rFonts w:ascii="Calibri" w:eastAsia="Times New Roman" w:hAnsi="Calibri" w:cs="Times New Roman"/>
        </w:rPr>
      </w:pPr>
      <w:r w:rsidRPr="00A32178">
        <w:rPr>
          <w:rFonts w:ascii="Calibri" w:eastAsia="Times New Roman" w:hAnsi="Calibri" w:cs="Times New Roman"/>
        </w:rPr>
        <w:t>The procedure prior to the current second language policy for international students saw individual students making appointments with the department that offered their primary language, to prove proficiency in their primary language; this process was unwieldy. The current policy was instituted to simplify that process, with the understanding that international students should be allowed to use their proficiency in English to satisfy the second language requirement (rather than their proficiency in their primary language). Since Admissions has added new exam options for students to prove their English proficiency, the current</w:t>
      </w:r>
      <w:r w:rsidR="00A32178" w:rsidRPr="00A32178">
        <w:rPr>
          <w:rFonts w:ascii="Calibri" w:eastAsia="Times New Roman" w:hAnsi="Calibri" w:cs="Times New Roman"/>
        </w:rPr>
        <w:t xml:space="preserve"> policy leaves some students in a situation where they have to pay for a second exam or otherwise prove their proficiency again after having been admitted. The proposal is to simplify the policy to state that students who must prove their English proficiency for admission have satisfied the second language </w:t>
      </w:r>
      <w:r w:rsidR="00A32178" w:rsidRPr="0099041E">
        <w:rPr>
          <w:rFonts w:ascii="Calibri" w:eastAsia="Times New Roman" w:hAnsi="Calibri" w:cs="Times New Roman"/>
        </w:rPr>
        <w:t>requirement. This will prevent additional costs and hoops for students to jump through as they prepare to graduate.</w:t>
      </w:r>
    </w:p>
    <w:p w:rsidR="00D64B3F" w:rsidRPr="0099041E" w:rsidRDefault="00D64B3F" w:rsidP="00D64B3F">
      <w:pPr>
        <w:spacing w:after="0" w:line="240" w:lineRule="auto"/>
        <w:contextualSpacing/>
        <w:rPr>
          <w:rFonts w:ascii="Calibri" w:eastAsia="Times New Roman" w:hAnsi="Calibri" w:cs="Times New Roman"/>
        </w:rPr>
      </w:pPr>
    </w:p>
    <w:p w:rsidR="00D64B3F" w:rsidRPr="0099041E" w:rsidRDefault="00D64B3F" w:rsidP="00D64B3F">
      <w:pPr>
        <w:spacing w:after="0" w:line="240" w:lineRule="auto"/>
        <w:ind w:left="720"/>
        <w:contextualSpacing/>
        <w:rPr>
          <w:rFonts w:ascii="Calibri" w:eastAsia="Times New Roman" w:hAnsi="Calibri" w:cs="Times New Roman"/>
        </w:rPr>
      </w:pPr>
      <w:r w:rsidRPr="0099041E">
        <w:rPr>
          <w:rFonts w:ascii="Calibri" w:eastAsia="Times New Roman" w:hAnsi="Calibri" w:cs="Times New Roman"/>
          <w:u w:val="single"/>
        </w:rPr>
        <w:lastRenderedPageBreak/>
        <w:t>Discussion commenced</w:t>
      </w:r>
      <w:r w:rsidRPr="0099041E">
        <w:rPr>
          <w:rFonts w:ascii="Calibri" w:eastAsia="Times New Roman" w:hAnsi="Calibri" w:cs="Times New Roman"/>
        </w:rPr>
        <w:t>:</w:t>
      </w:r>
    </w:p>
    <w:p w:rsidR="0099041E" w:rsidRPr="0099041E" w:rsidRDefault="00A32178" w:rsidP="00D64B3F">
      <w:pPr>
        <w:pStyle w:val="ListParagraph"/>
        <w:numPr>
          <w:ilvl w:val="0"/>
          <w:numId w:val="12"/>
        </w:numPr>
        <w:spacing w:after="0" w:line="240" w:lineRule="auto"/>
        <w:rPr>
          <w:rFonts w:ascii="Calibri" w:eastAsia="Times New Roman" w:hAnsi="Calibri" w:cs="Times New Roman"/>
          <w:b/>
        </w:rPr>
      </w:pPr>
      <w:r w:rsidRPr="0099041E">
        <w:rPr>
          <w:rFonts w:ascii="Calibri" w:eastAsia="Times New Roman" w:hAnsi="Calibri" w:cs="Times New Roman"/>
        </w:rPr>
        <w:t xml:space="preserve">A similar proposal was considered and denied in </w:t>
      </w:r>
      <w:proofErr w:type="gramStart"/>
      <w:r w:rsidRPr="0099041E">
        <w:rPr>
          <w:rFonts w:ascii="Calibri" w:eastAsia="Times New Roman" w:hAnsi="Calibri" w:cs="Times New Roman"/>
        </w:rPr>
        <w:t>Spring</w:t>
      </w:r>
      <w:proofErr w:type="gramEnd"/>
      <w:r w:rsidRPr="0099041E">
        <w:rPr>
          <w:rFonts w:ascii="Calibri" w:eastAsia="Times New Roman" w:hAnsi="Calibri" w:cs="Times New Roman"/>
        </w:rPr>
        <w:t xml:space="preserve"> 2016 because of concerns that students who meet the admissions standards aren’t </w:t>
      </w:r>
      <w:r w:rsidR="00143016" w:rsidRPr="0099041E">
        <w:rPr>
          <w:rFonts w:ascii="Calibri" w:eastAsia="Times New Roman" w:hAnsi="Calibri" w:cs="Times New Roman"/>
        </w:rPr>
        <w:t>prepared for their UA coursework; how can this concern be addressed? The exams accepted for admission to the UA will not change based on the result of this proposal, so the same students will be admitted to the UA whether or not the second language policy is aligned with the admissions policy. Additionally, it’s worth noting that the requirement for second language proficiency is either 2</w:t>
      </w:r>
      <w:r w:rsidR="00143016" w:rsidRPr="0099041E">
        <w:rPr>
          <w:rFonts w:ascii="Calibri" w:eastAsia="Times New Roman" w:hAnsi="Calibri" w:cs="Times New Roman"/>
          <w:vertAlign w:val="superscript"/>
        </w:rPr>
        <w:t>nd</w:t>
      </w:r>
      <w:r w:rsidR="00143016" w:rsidRPr="0099041E">
        <w:rPr>
          <w:rFonts w:ascii="Calibri" w:eastAsia="Times New Roman" w:hAnsi="Calibri" w:cs="Times New Roman"/>
        </w:rPr>
        <w:t xml:space="preserve"> semester or 4</w:t>
      </w:r>
      <w:r w:rsidR="00143016" w:rsidRPr="0099041E">
        <w:rPr>
          <w:rFonts w:ascii="Calibri" w:eastAsia="Times New Roman" w:hAnsi="Calibri" w:cs="Times New Roman"/>
          <w:vertAlign w:val="superscript"/>
        </w:rPr>
        <w:t>th</w:t>
      </w:r>
      <w:r w:rsidR="00143016" w:rsidRPr="0099041E">
        <w:rPr>
          <w:rFonts w:ascii="Calibri" w:eastAsia="Times New Roman" w:hAnsi="Calibri" w:cs="Times New Roman"/>
        </w:rPr>
        <w:t xml:space="preserve"> semester; that level of proficiency is lower than that needed for success at the university level in general. For </w:t>
      </w:r>
      <w:r w:rsidR="0099041E" w:rsidRPr="0099041E">
        <w:rPr>
          <w:rFonts w:ascii="Calibri" w:eastAsia="Times New Roman" w:hAnsi="Calibri" w:cs="Times New Roman"/>
        </w:rPr>
        <w:t>example</w:t>
      </w:r>
      <w:r w:rsidR="00143016" w:rsidRPr="0099041E">
        <w:rPr>
          <w:rFonts w:ascii="Calibri" w:eastAsia="Times New Roman" w:hAnsi="Calibri" w:cs="Times New Roman"/>
        </w:rPr>
        <w:t>- a student with 4</w:t>
      </w:r>
      <w:r w:rsidR="00143016" w:rsidRPr="0099041E">
        <w:rPr>
          <w:rFonts w:ascii="Calibri" w:eastAsia="Times New Roman" w:hAnsi="Calibri" w:cs="Times New Roman"/>
          <w:vertAlign w:val="superscript"/>
        </w:rPr>
        <w:t>th</w:t>
      </w:r>
      <w:r w:rsidR="00143016" w:rsidRPr="0099041E">
        <w:rPr>
          <w:rFonts w:ascii="Calibri" w:eastAsia="Times New Roman" w:hAnsi="Calibri" w:cs="Times New Roman"/>
        </w:rPr>
        <w:t xml:space="preserve"> semester proficiency in French would have difficulty</w:t>
      </w:r>
      <w:r w:rsidR="0099041E" w:rsidRPr="0099041E">
        <w:rPr>
          <w:rFonts w:ascii="Calibri" w:eastAsia="Times New Roman" w:hAnsi="Calibri" w:cs="Times New Roman"/>
        </w:rPr>
        <w:t xml:space="preserve"> taking all their courses for all subjects in the French language. International students should not be held to a higher standard than domestic students for the same graduation requirement.</w:t>
      </w:r>
    </w:p>
    <w:p w:rsidR="00D64B3F" w:rsidRPr="0099041E" w:rsidRDefault="0099041E" w:rsidP="00D64B3F">
      <w:pPr>
        <w:pStyle w:val="ListParagraph"/>
        <w:numPr>
          <w:ilvl w:val="0"/>
          <w:numId w:val="12"/>
        </w:numPr>
        <w:spacing w:after="0" w:line="240" w:lineRule="auto"/>
        <w:rPr>
          <w:rFonts w:ascii="Calibri" w:eastAsia="Times New Roman" w:hAnsi="Calibri" w:cs="Times New Roman"/>
          <w:b/>
        </w:rPr>
      </w:pPr>
      <w:r w:rsidRPr="0099041E">
        <w:rPr>
          <w:rFonts w:ascii="Calibri" w:eastAsia="Times New Roman" w:hAnsi="Calibri" w:cs="Times New Roman"/>
        </w:rPr>
        <w:t>What about international students whose only language is English? There are students who grew up on military bases, or who for other reasons have only spoken English in non-English speaking countries. It’s possible that there will be some students who slip through the cracks without proving proficiency in a second language. While this is possible, the number of students who may be in this situation is statistically small, and the new proposed policy doesn’t remove any protection from this scenario that the current policy ensures.</w:t>
      </w:r>
      <w:r w:rsidR="00143016" w:rsidRPr="0099041E">
        <w:rPr>
          <w:rFonts w:ascii="Calibri" w:eastAsia="Times New Roman" w:hAnsi="Calibri" w:cs="Times New Roman"/>
        </w:rPr>
        <w:t xml:space="preserve"> </w:t>
      </w:r>
    </w:p>
    <w:p w:rsidR="00AA7CBE" w:rsidRPr="00345D27" w:rsidRDefault="00AA7CBE" w:rsidP="00AA7CBE">
      <w:pPr>
        <w:spacing w:after="0" w:line="240" w:lineRule="auto"/>
        <w:ind w:left="720"/>
        <w:rPr>
          <w:rFonts w:ascii="Calibri" w:eastAsia="Times New Roman" w:hAnsi="Calibri" w:cs="Times New Roman"/>
          <w:b/>
        </w:rPr>
      </w:pPr>
    </w:p>
    <w:p w:rsidR="00AA7CBE" w:rsidRPr="00345D27" w:rsidRDefault="002F6AC6" w:rsidP="00AA7CBE">
      <w:pPr>
        <w:spacing w:after="0" w:line="240" w:lineRule="auto"/>
        <w:ind w:left="720"/>
        <w:rPr>
          <w:rFonts w:ascii="Calibri" w:eastAsia="Times New Roman" w:hAnsi="Calibri" w:cs="Times New Roman"/>
          <w:b/>
        </w:rPr>
      </w:pPr>
      <w:r w:rsidRPr="00345D27">
        <w:rPr>
          <w:rFonts w:ascii="Calibri" w:eastAsia="Times New Roman" w:hAnsi="Calibri" w:cs="Times New Roman"/>
          <w:b/>
        </w:rPr>
        <w:t>Claudia Stanescu</w:t>
      </w:r>
      <w:r w:rsidRPr="00345D27">
        <w:rPr>
          <w:rFonts w:ascii="Calibri" w:eastAsia="Times New Roman" w:hAnsi="Calibri" w:cs="Times New Roman"/>
          <w:b/>
        </w:rPr>
        <w:t xml:space="preserve"> moved to approve the proposal as submitted, and Joost Van Haren seconded the motion.  The motion passed unanimously with 9 votes in favor.</w:t>
      </w:r>
    </w:p>
    <w:p w:rsidR="00775512" w:rsidRPr="00345D27" w:rsidRDefault="00775512" w:rsidP="0099041E">
      <w:pPr>
        <w:spacing w:after="0" w:line="240" w:lineRule="auto"/>
        <w:rPr>
          <w:rFonts w:ascii="Calibri" w:eastAsia="Calibri" w:hAnsi="Calibri" w:cs="Times New Roman"/>
        </w:rPr>
      </w:pPr>
    </w:p>
    <w:p w:rsidR="0099041E" w:rsidRDefault="0099041E" w:rsidP="00345D27">
      <w:pPr>
        <w:spacing w:after="0" w:line="240" w:lineRule="auto"/>
        <w:rPr>
          <w:rFonts w:ascii="Calibri" w:eastAsia="Times New Roman" w:hAnsi="Calibri" w:cs="Times New Roman"/>
          <w:b/>
        </w:rPr>
      </w:pPr>
    </w:p>
    <w:p w:rsidR="0099041E" w:rsidRPr="00345D27" w:rsidRDefault="00D57DB0" w:rsidP="00345D27">
      <w:pPr>
        <w:numPr>
          <w:ilvl w:val="0"/>
          <w:numId w:val="1"/>
        </w:numPr>
        <w:spacing w:after="0" w:line="240" w:lineRule="auto"/>
        <w:ind w:left="360" w:hanging="360"/>
        <w:contextualSpacing/>
        <w:rPr>
          <w:rFonts w:ascii="Calibri" w:eastAsia="Times New Roman" w:hAnsi="Calibri" w:cs="Times New Roman"/>
          <w:b/>
        </w:rPr>
      </w:pPr>
      <w:r w:rsidRPr="00345D27">
        <w:rPr>
          <w:rFonts w:ascii="Calibri" w:eastAsia="Times New Roman" w:hAnsi="Calibri" w:cs="Times New Roman"/>
          <w:b/>
        </w:rPr>
        <w:t>Additional Discussion – Efficiency of Course and Program Approval Process</w:t>
      </w:r>
      <w:r w:rsidR="0099041E" w:rsidRPr="00345D27">
        <w:rPr>
          <w:rFonts w:ascii="Calibri" w:eastAsia="Times New Roman" w:hAnsi="Calibri" w:cs="Times New Roman"/>
          <w:b/>
        </w:rPr>
        <w:t xml:space="preserve"> </w:t>
      </w:r>
      <w:r w:rsidRPr="00345D27">
        <w:rPr>
          <w:rFonts w:ascii="Calibri" w:eastAsia="Times New Roman" w:hAnsi="Calibri" w:cs="Times New Roman"/>
          <w:b/>
        </w:rPr>
        <w:t xml:space="preserve">– </w:t>
      </w:r>
      <w:r w:rsidRPr="00345D27">
        <w:rPr>
          <w:rFonts w:ascii="Calibri" w:eastAsia="Times New Roman" w:hAnsi="Calibri" w:cs="Times New Roman"/>
        </w:rPr>
        <w:t>Neel Ghosh</w:t>
      </w:r>
    </w:p>
    <w:p w:rsidR="00D57DB0" w:rsidRPr="00345D27" w:rsidRDefault="00D57DB0" w:rsidP="0099041E">
      <w:pPr>
        <w:spacing w:after="0" w:line="240" w:lineRule="auto"/>
        <w:ind w:left="720"/>
        <w:rPr>
          <w:rFonts w:ascii="Calibri" w:eastAsia="Times New Roman" w:hAnsi="Calibri" w:cs="Times New Roman"/>
        </w:rPr>
      </w:pPr>
    </w:p>
    <w:p w:rsidR="0099041E" w:rsidRPr="00345D27" w:rsidRDefault="00D57DB0" w:rsidP="0099041E">
      <w:pPr>
        <w:spacing w:after="0" w:line="240" w:lineRule="auto"/>
        <w:ind w:left="720"/>
        <w:rPr>
          <w:rFonts w:ascii="Calibri" w:eastAsia="Times New Roman" w:hAnsi="Calibri" w:cs="Times New Roman"/>
        </w:rPr>
      </w:pPr>
      <w:r w:rsidRPr="00345D27">
        <w:rPr>
          <w:rFonts w:ascii="Calibri" w:eastAsia="Times New Roman" w:hAnsi="Calibri" w:cs="Times New Roman"/>
        </w:rPr>
        <w:t xml:space="preserve">The Provost is holding a meeting with UGC and subcommittee Chairs and other key players to determine how to reach the goal of course and program approval processes taking 30 days to complete. </w:t>
      </w:r>
    </w:p>
    <w:p w:rsidR="00D57DB0" w:rsidRPr="00345D27" w:rsidRDefault="00D57DB0" w:rsidP="0099041E">
      <w:pPr>
        <w:spacing w:after="0" w:line="240" w:lineRule="auto"/>
        <w:ind w:left="720"/>
        <w:rPr>
          <w:rFonts w:ascii="Calibri" w:eastAsia="Times New Roman" w:hAnsi="Calibri" w:cs="Times New Roman"/>
        </w:rPr>
      </w:pPr>
    </w:p>
    <w:p w:rsidR="00D57DB0" w:rsidRPr="00345D27" w:rsidRDefault="00D57DB0" w:rsidP="0099041E">
      <w:pPr>
        <w:spacing w:after="0" w:line="240" w:lineRule="auto"/>
        <w:ind w:left="720"/>
        <w:rPr>
          <w:rFonts w:ascii="Calibri" w:eastAsia="Times New Roman" w:hAnsi="Calibri" w:cs="Times New Roman"/>
          <w:u w:val="single"/>
        </w:rPr>
      </w:pPr>
      <w:r w:rsidRPr="00345D27">
        <w:rPr>
          <w:rFonts w:ascii="Calibri" w:eastAsia="Times New Roman" w:hAnsi="Calibri" w:cs="Times New Roman"/>
          <w:u w:val="single"/>
        </w:rPr>
        <w:t>Discussion commenced:</w:t>
      </w:r>
    </w:p>
    <w:p w:rsidR="00D57DB0" w:rsidRDefault="00D57DB0" w:rsidP="00D57DB0">
      <w:pPr>
        <w:pStyle w:val="ListParagraph"/>
        <w:numPr>
          <w:ilvl w:val="0"/>
          <w:numId w:val="19"/>
        </w:numPr>
        <w:spacing w:after="0" w:line="240" w:lineRule="auto"/>
        <w:rPr>
          <w:rFonts w:ascii="Calibri" w:eastAsia="Times New Roman" w:hAnsi="Calibri" w:cs="Times New Roman"/>
        </w:rPr>
      </w:pPr>
      <w:r w:rsidRPr="00345D27">
        <w:rPr>
          <w:rFonts w:ascii="Calibri" w:eastAsia="Times New Roman" w:hAnsi="Calibri" w:cs="Times New Roman"/>
        </w:rPr>
        <w:t xml:space="preserve">Do proposals need to come before the full </w:t>
      </w:r>
      <w:r>
        <w:rPr>
          <w:rFonts w:ascii="Calibri" w:eastAsia="Times New Roman" w:hAnsi="Calibri" w:cs="Times New Roman"/>
        </w:rPr>
        <w:t>UGC if the subcommittee has unanimously approved them? Yes, this is still important because each subcommittee only has representatives from half of the units on campus. It’s possible that a representative on the policies subcommittee could have insight or questions about a proposed program; if the full committee didn’t see that proposal, that feedback would be lost.</w:t>
      </w:r>
    </w:p>
    <w:p w:rsidR="00D57DB0" w:rsidRDefault="00251B32" w:rsidP="00D57DB0">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UGC and subcommittee meetings are officially public- anyone can attend. There is concern that committee members may feel pressure not to raise issues if there’s a push for a faster approval process. It would be beneficial to have a way to raise issues anonymously if possible. While it isn’t possible to make the discussion private, it would help to have a way to make the voting anonymous.</w:t>
      </w:r>
    </w:p>
    <w:p w:rsidR="00251B32" w:rsidRDefault="00251B32" w:rsidP="00D57DB0">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Is the problem that there is something systematically wrong with the process, or is the problem that some programs have taken a long time because of issues specific to those programs? If most programs go through the process in an acceptable amount of time, those that take longer may be delayed for valid reasons, and speeding up the process may not be appropriate.</w:t>
      </w:r>
    </w:p>
    <w:p w:rsidR="00251B32" w:rsidRDefault="00251B32" w:rsidP="00D57DB0">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Is this an issue of the total time it takes for a proposal to get approved, or the number of different committees presenters end up needing to visit? In some cases, the submitters may not need to make the same presentation over and over again, but it’s beneficial for them to attend the meeting in case there are new questions that need to be answered. If they aren’t in attendance when a new question comes up, that could delay the proposal.</w:t>
      </w:r>
    </w:p>
    <w:p w:rsidR="00251B32" w:rsidRDefault="00251B32" w:rsidP="00D57DB0">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The purpose of UGC is for each representative to communicate as needed with their colleagues to get feedback from their units. The process shouldn’t be sped up to the point that there isn’t time for that communication to take place.</w:t>
      </w:r>
    </w:p>
    <w:p w:rsidR="00251B32" w:rsidRPr="00D57DB0" w:rsidRDefault="00345D27" w:rsidP="00D57DB0">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It may be possible for a process to be created where new courses can be packaged together with the new programs they will serve, in order to streamline the proposal and approval process.</w:t>
      </w:r>
    </w:p>
    <w:p w:rsidR="00D57DB0" w:rsidRDefault="00D57DB0" w:rsidP="0099041E">
      <w:pPr>
        <w:spacing w:after="0" w:line="240" w:lineRule="auto"/>
        <w:ind w:left="720"/>
        <w:rPr>
          <w:rFonts w:ascii="Calibri" w:eastAsia="Times New Roman" w:hAnsi="Calibri" w:cs="Times New Roman"/>
        </w:rPr>
      </w:pPr>
    </w:p>
    <w:p w:rsidR="00D57DB0" w:rsidRPr="0099041E" w:rsidRDefault="00D57DB0" w:rsidP="0099041E">
      <w:pPr>
        <w:spacing w:after="0" w:line="240" w:lineRule="auto"/>
        <w:ind w:left="720"/>
        <w:rPr>
          <w:rFonts w:ascii="Calibri" w:eastAsia="Calibri" w:hAnsi="Calibri" w:cs="Times New Roman"/>
          <w:color w:val="FF0000"/>
        </w:rPr>
      </w:pPr>
    </w:p>
    <w:p w:rsidR="00AF2C2A" w:rsidRPr="002335F2" w:rsidRDefault="00306B7E" w:rsidP="008476CA">
      <w:pPr>
        <w:spacing w:after="0" w:line="240" w:lineRule="auto"/>
        <w:contextualSpacing/>
        <w:rPr>
          <w:rFonts w:ascii="Calibri" w:eastAsia="Calibri" w:hAnsi="Calibri" w:cs="Times New Roman"/>
        </w:rPr>
      </w:pPr>
      <w:r w:rsidRPr="002335F2">
        <w:rPr>
          <w:rFonts w:ascii="Calibri" w:eastAsia="Times New Roman" w:hAnsi="Calibri" w:cs="Times New Roman"/>
        </w:rPr>
        <w:t>Molly</w:t>
      </w:r>
      <w:r w:rsidR="008476CA" w:rsidRPr="002335F2">
        <w:rPr>
          <w:rFonts w:ascii="Calibri" w:eastAsia="Times New Roman" w:hAnsi="Calibri" w:cs="Times New Roman"/>
        </w:rPr>
        <w:t xml:space="preserve"> adjourned the meeting at </w:t>
      </w:r>
      <w:r w:rsidR="00D64B3F" w:rsidRPr="002335F2">
        <w:rPr>
          <w:rFonts w:ascii="Calibri" w:eastAsia="Times New Roman" w:hAnsi="Calibri" w:cs="Times New Roman"/>
        </w:rPr>
        <w:t>5</w:t>
      </w:r>
      <w:r w:rsidR="008476CA" w:rsidRPr="002335F2">
        <w:rPr>
          <w:rFonts w:ascii="Calibri" w:eastAsia="Times New Roman" w:hAnsi="Calibri" w:cs="Times New Roman"/>
        </w:rPr>
        <w:t>:</w:t>
      </w:r>
      <w:r w:rsidR="00D64B3F" w:rsidRPr="002335F2">
        <w:rPr>
          <w:rFonts w:ascii="Calibri" w:eastAsia="Times New Roman" w:hAnsi="Calibri" w:cs="Times New Roman"/>
        </w:rPr>
        <w:t>00</w:t>
      </w:r>
      <w:r w:rsidR="008476CA" w:rsidRPr="002335F2">
        <w:rPr>
          <w:rFonts w:ascii="Calibri" w:eastAsia="Times New Roman" w:hAnsi="Calibri" w:cs="Times New Roman"/>
        </w:rPr>
        <w:t xml:space="preserve"> p.m.   The next Subcommittee meeting will be on </w:t>
      </w:r>
      <w:r w:rsidR="002335F2" w:rsidRPr="002335F2">
        <w:rPr>
          <w:rFonts w:ascii="Calibri" w:eastAsia="Times New Roman" w:hAnsi="Calibri" w:cs="Times New Roman"/>
        </w:rPr>
        <w:t>February</w:t>
      </w:r>
      <w:r w:rsidR="00D64B3F" w:rsidRPr="002335F2">
        <w:rPr>
          <w:rFonts w:ascii="Calibri" w:eastAsia="Times New Roman" w:hAnsi="Calibri" w:cs="Times New Roman"/>
        </w:rPr>
        <w:t xml:space="preserve"> 2</w:t>
      </w:r>
      <w:r w:rsidR="002335F2" w:rsidRPr="002335F2">
        <w:rPr>
          <w:rFonts w:ascii="Calibri" w:eastAsia="Times New Roman" w:hAnsi="Calibri" w:cs="Times New Roman"/>
        </w:rPr>
        <w:t>5</w:t>
      </w:r>
      <w:r w:rsidR="00BE5469" w:rsidRPr="002335F2">
        <w:rPr>
          <w:rFonts w:ascii="Calibri" w:eastAsia="Times New Roman" w:hAnsi="Calibri" w:cs="Times New Roman"/>
        </w:rPr>
        <w:t>, 20</w:t>
      </w:r>
      <w:r w:rsidR="002335F2" w:rsidRPr="002335F2">
        <w:rPr>
          <w:rFonts w:ascii="Calibri" w:eastAsia="Times New Roman" w:hAnsi="Calibri" w:cs="Times New Roman"/>
        </w:rPr>
        <w:t>20</w:t>
      </w:r>
      <w:r w:rsidR="008476CA" w:rsidRPr="002335F2">
        <w:rPr>
          <w:rFonts w:ascii="Calibri" w:eastAsia="Times New Roman" w:hAnsi="Calibri" w:cs="Times New Roman"/>
        </w:rPr>
        <w:t>.</w:t>
      </w:r>
    </w:p>
    <w:p w:rsidR="003E275A" w:rsidRPr="002335F2" w:rsidRDefault="003E275A" w:rsidP="003E275A">
      <w:pPr>
        <w:spacing w:after="0" w:line="240" w:lineRule="auto"/>
        <w:rPr>
          <w:rFonts w:ascii="Calibri" w:eastAsia="Times New Roman" w:hAnsi="Calibri" w:cs="Times New Roman"/>
          <w:i/>
        </w:rPr>
      </w:pPr>
    </w:p>
    <w:p w:rsidR="008C3F57" w:rsidRPr="002335F2" w:rsidRDefault="003E275A" w:rsidP="00C3392E">
      <w:pPr>
        <w:spacing w:after="0" w:line="240" w:lineRule="auto"/>
        <w:rPr>
          <w:rFonts w:ascii="Calibri" w:eastAsia="Times New Roman" w:hAnsi="Calibri" w:cs="Times New Roman"/>
          <w:i/>
          <w:color w:val="FF0000"/>
        </w:rPr>
      </w:pPr>
      <w:r w:rsidRPr="002335F2">
        <w:rPr>
          <w:rFonts w:ascii="Calibri" w:eastAsia="Times New Roman" w:hAnsi="Calibri" w:cs="Times New Roman"/>
          <w:i/>
        </w:rPr>
        <w:t>Respectf</w:t>
      </w:r>
      <w:r w:rsidR="00C13676" w:rsidRPr="002335F2">
        <w:rPr>
          <w:rFonts w:ascii="Calibri" w:eastAsia="Times New Roman" w:hAnsi="Calibri" w:cs="Times New Roman"/>
          <w:i/>
        </w:rPr>
        <w:t xml:space="preserve">ully Submitted </w:t>
      </w:r>
      <w:r w:rsidR="008476CA" w:rsidRPr="002335F2">
        <w:rPr>
          <w:rFonts w:ascii="Calibri" w:eastAsia="Times New Roman" w:hAnsi="Calibri" w:cs="Times New Roman"/>
          <w:i/>
        </w:rPr>
        <w:t xml:space="preserve">by </w:t>
      </w:r>
      <w:r w:rsidR="00BE5469" w:rsidRPr="002335F2">
        <w:rPr>
          <w:rFonts w:ascii="Calibri" w:eastAsia="Times New Roman" w:hAnsi="Calibri" w:cs="Times New Roman"/>
          <w:i/>
        </w:rPr>
        <w:t xml:space="preserve">Abbie </w:t>
      </w:r>
      <w:r w:rsidR="00BE5469" w:rsidRPr="00345D27">
        <w:rPr>
          <w:rFonts w:ascii="Calibri" w:eastAsia="Times New Roman" w:hAnsi="Calibri" w:cs="Times New Roman"/>
          <w:i/>
        </w:rPr>
        <w:t>Sorg</w:t>
      </w:r>
      <w:r w:rsidR="008476CA" w:rsidRPr="00345D27">
        <w:rPr>
          <w:rFonts w:ascii="Calibri" w:eastAsia="Times New Roman" w:hAnsi="Calibri" w:cs="Times New Roman"/>
          <w:i/>
        </w:rPr>
        <w:t xml:space="preserve">, </w:t>
      </w:r>
      <w:r w:rsidR="00306B7E" w:rsidRPr="00345D27">
        <w:rPr>
          <w:rFonts w:ascii="Calibri" w:eastAsia="Times New Roman" w:hAnsi="Calibri" w:cs="Times New Roman"/>
          <w:i/>
        </w:rPr>
        <w:t>1</w:t>
      </w:r>
      <w:r w:rsidR="00BE5469" w:rsidRPr="00345D27">
        <w:rPr>
          <w:rFonts w:ascii="Calibri" w:eastAsia="Times New Roman" w:hAnsi="Calibri" w:cs="Times New Roman"/>
          <w:i/>
        </w:rPr>
        <w:t>/</w:t>
      </w:r>
      <w:r w:rsidR="00F506C4" w:rsidRPr="00345D27">
        <w:rPr>
          <w:rFonts w:ascii="Calibri" w:eastAsia="Times New Roman" w:hAnsi="Calibri" w:cs="Times New Roman"/>
          <w:i/>
        </w:rPr>
        <w:t>31</w:t>
      </w:r>
      <w:r w:rsidR="00DC55F0" w:rsidRPr="00345D27">
        <w:rPr>
          <w:rFonts w:ascii="Calibri" w:eastAsia="Times New Roman" w:hAnsi="Calibri" w:cs="Times New Roman"/>
          <w:i/>
        </w:rPr>
        <w:t>/20</w:t>
      </w:r>
    </w:p>
    <w:p w:rsidR="00306B7E" w:rsidRPr="002335F2" w:rsidRDefault="00306B7E" w:rsidP="00C3392E">
      <w:pPr>
        <w:spacing w:after="0" w:line="240" w:lineRule="auto"/>
        <w:rPr>
          <w:rFonts w:ascii="Calibri" w:eastAsia="Times New Roman" w:hAnsi="Calibri" w:cs="Times New Roman"/>
          <w:i/>
          <w:color w:val="FF0000"/>
        </w:rPr>
      </w:pPr>
    </w:p>
    <w:p w:rsidR="00306B7E" w:rsidRPr="00BE5469" w:rsidRDefault="00306B7E" w:rsidP="00C3392E">
      <w:pPr>
        <w:spacing w:after="0" w:line="240" w:lineRule="auto"/>
      </w:pPr>
    </w:p>
    <w:sectPr w:rsidR="00306B7E" w:rsidRPr="00BE5469" w:rsidSect="000E589D">
      <w:headerReference w:type="default" r:id="rId7"/>
      <w:pgSz w:w="12240" w:h="15840"/>
      <w:pgMar w:top="1008" w:right="1152"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1" w:rsidRDefault="00F74BC1" w:rsidP="000E589D">
      <w:pPr>
        <w:spacing w:after="0" w:line="240" w:lineRule="auto"/>
      </w:pPr>
      <w:r>
        <w:separator/>
      </w:r>
    </w:p>
  </w:endnote>
  <w:endnote w:type="continuationSeparator" w:id="0">
    <w:p w:rsidR="00F74BC1" w:rsidRDefault="00F74BC1" w:rsidP="000E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1" w:rsidRDefault="00F74BC1" w:rsidP="000E589D">
      <w:pPr>
        <w:spacing w:after="0" w:line="240" w:lineRule="auto"/>
      </w:pPr>
      <w:r>
        <w:separator/>
      </w:r>
    </w:p>
  </w:footnote>
  <w:footnote w:type="continuationSeparator" w:id="0">
    <w:p w:rsidR="00F74BC1" w:rsidRDefault="00F74BC1" w:rsidP="000E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092"/>
      <w:docPartObj>
        <w:docPartGallery w:val="Page Numbers (Top of Page)"/>
        <w:docPartUnique/>
      </w:docPartObj>
    </w:sdtPr>
    <w:sdtEndPr>
      <w:rPr>
        <w:noProof/>
      </w:rPr>
    </w:sdtEndPr>
    <w:sdtContent>
      <w:p w:rsidR="00F74BC1" w:rsidRDefault="00F74BC1">
        <w:pPr>
          <w:pStyle w:val="Header"/>
          <w:jc w:val="right"/>
        </w:pPr>
        <w:r>
          <w:fldChar w:fldCharType="begin"/>
        </w:r>
        <w:r>
          <w:instrText xml:space="preserve"> PAGE   \* MERGEFORMAT </w:instrText>
        </w:r>
        <w:r>
          <w:fldChar w:fldCharType="separate"/>
        </w:r>
        <w:r w:rsidR="00345D27">
          <w:rPr>
            <w:noProof/>
          </w:rPr>
          <w:t>2</w:t>
        </w:r>
        <w:r>
          <w:rPr>
            <w:noProof/>
          </w:rPr>
          <w:fldChar w:fldCharType="end"/>
        </w:r>
      </w:p>
    </w:sdtContent>
  </w:sdt>
  <w:p w:rsidR="00F74BC1" w:rsidRDefault="00F74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868"/>
    <w:multiLevelType w:val="hybridMultilevel"/>
    <w:tmpl w:val="634A99B6"/>
    <w:lvl w:ilvl="0" w:tplc="0D7479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407C8"/>
    <w:multiLevelType w:val="hybridMultilevel"/>
    <w:tmpl w:val="C2408D62"/>
    <w:lvl w:ilvl="0" w:tplc="63B6ABDE">
      <w:start w:val="2"/>
      <w:numFmt w:val="upperLetter"/>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213B"/>
    <w:multiLevelType w:val="hybridMultilevel"/>
    <w:tmpl w:val="2FE2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3526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344DEE"/>
    <w:multiLevelType w:val="hybridMultilevel"/>
    <w:tmpl w:val="77D6AA3A"/>
    <w:lvl w:ilvl="0" w:tplc="62ACF78C">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64E3E22"/>
    <w:multiLevelType w:val="hybridMultilevel"/>
    <w:tmpl w:val="244CD324"/>
    <w:lvl w:ilvl="0" w:tplc="9334CB74">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534F7E"/>
    <w:multiLevelType w:val="hybridMultilevel"/>
    <w:tmpl w:val="CDB4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6A4026"/>
    <w:multiLevelType w:val="hybridMultilevel"/>
    <w:tmpl w:val="43789D2E"/>
    <w:lvl w:ilvl="0" w:tplc="18B640E6">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9A67BA8"/>
    <w:multiLevelType w:val="hybridMultilevel"/>
    <w:tmpl w:val="75C68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9D05EE"/>
    <w:multiLevelType w:val="hybridMultilevel"/>
    <w:tmpl w:val="E3BC59A2"/>
    <w:lvl w:ilvl="0" w:tplc="F15028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276201"/>
    <w:multiLevelType w:val="hybridMultilevel"/>
    <w:tmpl w:val="9F68C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82DE6"/>
    <w:multiLevelType w:val="hybridMultilevel"/>
    <w:tmpl w:val="D97893DE"/>
    <w:lvl w:ilvl="0" w:tplc="84D6A14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9DD71E7"/>
    <w:multiLevelType w:val="hybridMultilevel"/>
    <w:tmpl w:val="9578881E"/>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5765A50"/>
    <w:multiLevelType w:val="hybridMultilevel"/>
    <w:tmpl w:val="4BA21F0A"/>
    <w:lvl w:ilvl="0" w:tplc="42BEFB40">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FF31FE"/>
    <w:multiLevelType w:val="hybridMultilevel"/>
    <w:tmpl w:val="A1105AA4"/>
    <w:lvl w:ilvl="0" w:tplc="4D9E29E0">
      <w:start w:val="1"/>
      <w:numFmt w:val="decimal"/>
      <w:lvlText w:val="%1)"/>
      <w:lvlJc w:val="left"/>
      <w:pPr>
        <w:ind w:left="630" w:hanging="360"/>
      </w:pPr>
      <w:rPr>
        <w:rFonts w:hint="default"/>
        <w:b w:val="0"/>
      </w:rPr>
    </w:lvl>
    <w:lvl w:ilvl="1" w:tplc="04090015">
      <w:start w:val="1"/>
      <w:numFmt w:val="upperLetter"/>
      <w:lvlText w:val="%2."/>
      <w:lvlJc w:val="left"/>
      <w:pPr>
        <w:ind w:left="1350" w:hanging="360"/>
      </w:pPr>
      <w:rPr>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01F22DD"/>
    <w:multiLevelType w:val="hybridMultilevel"/>
    <w:tmpl w:val="916A0E44"/>
    <w:lvl w:ilvl="0" w:tplc="2AC05D8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2D527E"/>
    <w:multiLevelType w:val="hybridMultilevel"/>
    <w:tmpl w:val="8A62402E"/>
    <w:lvl w:ilvl="0" w:tplc="F66C1A3A">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3"/>
  </w:num>
  <w:num w:numId="9">
    <w:abstractNumId w:val="14"/>
  </w:num>
  <w:num w:numId="10">
    <w:abstractNumId w:val="5"/>
  </w:num>
  <w:num w:numId="11">
    <w:abstractNumId w:val="12"/>
  </w:num>
  <w:num w:numId="12">
    <w:abstractNumId w:val="15"/>
  </w:num>
  <w:num w:numId="13">
    <w:abstractNumId w:val="9"/>
  </w:num>
  <w:num w:numId="14">
    <w:abstractNumId w:val="2"/>
  </w:num>
  <w:num w:numId="15">
    <w:abstractNumId w:val="8"/>
  </w:num>
  <w:num w:numId="16">
    <w:abstractNumId w:val="0"/>
  </w:num>
  <w:num w:numId="17">
    <w:abstractNumId w:val="1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A"/>
    <w:rsid w:val="000001AE"/>
    <w:rsid w:val="00032E39"/>
    <w:rsid w:val="00033511"/>
    <w:rsid w:val="00034076"/>
    <w:rsid w:val="00051D5B"/>
    <w:rsid w:val="0005433B"/>
    <w:rsid w:val="00074353"/>
    <w:rsid w:val="00086B12"/>
    <w:rsid w:val="000B2CE4"/>
    <w:rsid w:val="000C1126"/>
    <w:rsid w:val="000C5B78"/>
    <w:rsid w:val="000C6224"/>
    <w:rsid w:val="000D2C6B"/>
    <w:rsid w:val="000E589D"/>
    <w:rsid w:val="000F576A"/>
    <w:rsid w:val="00103239"/>
    <w:rsid w:val="0010681B"/>
    <w:rsid w:val="001116A5"/>
    <w:rsid w:val="00116636"/>
    <w:rsid w:val="00121735"/>
    <w:rsid w:val="00127930"/>
    <w:rsid w:val="0014292F"/>
    <w:rsid w:val="00143016"/>
    <w:rsid w:val="001478F2"/>
    <w:rsid w:val="00174737"/>
    <w:rsid w:val="00175FE2"/>
    <w:rsid w:val="0017737C"/>
    <w:rsid w:val="001852A5"/>
    <w:rsid w:val="00193D6F"/>
    <w:rsid w:val="00194991"/>
    <w:rsid w:val="001A1AAC"/>
    <w:rsid w:val="001A397B"/>
    <w:rsid w:val="001F18BC"/>
    <w:rsid w:val="002020B4"/>
    <w:rsid w:val="00204264"/>
    <w:rsid w:val="0022515D"/>
    <w:rsid w:val="00225869"/>
    <w:rsid w:val="002335F2"/>
    <w:rsid w:val="00233F98"/>
    <w:rsid w:val="00251727"/>
    <w:rsid w:val="00251B32"/>
    <w:rsid w:val="00263BBE"/>
    <w:rsid w:val="002731E7"/>
    <w:rsid w:val="00286AD8"/>
    <w:rsid w:val="00287732"/>
    <w:rsid w:val="002950A7"/>
    <w:rsid w:val="002A2147"/>
    <w:rsid w:val="002A3122"/>
    <w:rsid w:val="002A561F"/>
    <w:rsid w:val="002A668F"/>
    <w:rsid w:val="002B10BD"/>
    <w:rsid w:val="002C0A97"/>
    <w:rsid w:val="002C7CFB"/>
    <w:rsid w:val="002D6E9D"/>
    <w:rsid w:val="002F6AC6"/>
    <w:rsid w:val="00300F35"/>
    <w:rsid w:val="003028AB"/>
    <w:rsid w:val="00303C5B"/>
    <w:rsid w:val="00306B7E"/>
    <w:rsid w:val="00345D27"/>
    <w:rsid w:val="00347877"/>
    <w:rsid w:val="00347ED1"/>
    <w:rsid w:val="00361BE7"/>
    <w:rsid w:val="00362E27"/>
    <w:rsid w:val="00370D88"/>
    <w:rsid w:val="00381DF9"/>
    <w:rsid w:val="00387517"/>
    <w:rsid w:val="003919B6"/>
    <w:rsid w:val="00392A34"/>
    <w:rsid w:val="003A374F"/>
    <w:rsid w:val="003B1543"/>
    <w:rsid w:val="003B49D6"/>
    <w:rsid w:val="003C3A9B"/>
    <w:rsid w:val="003E275A"/>
    <w:rsid w:val="003E4438"/>
    <w:rsid w:val="003E47D4"/>
    <w:rsid w:val="00407AF3"/>
    <w:rsid w:val="00407D2A"/>
    <w:rsid w:val="00424187"/>
    <w:rsid w:val="004322F8"/>
    <w:rsid w:val="00440E3C"/>
    <w:rsid w:val="00447378"/>
    <w:rsid w:val="0045293F"/>
    <w:rsid w:val="00454C72"/>
    <w:rsid w:val="004570DA"/>
    <w:rsid w:val="0047721D"/>
    <w:rsid w:val="00477D5A"/>
    <w:rsid w:val="00480112"/>
    <w:rsid w:val="004809DF"/>
    <w:rsid w:val="00483DE2"/>
    <w:rsid w:val="00493025"/>
    <w:rsid w:val="004A0D41"/>
    <w:rsid w:val="004A1BA5"/>
    <w:rsid w:val="004A5258"/>
    <w:rsid w:val="004A6BC3"/>
    <w:rsid w:val="004C606B"/>
    <w:rsid w:val="004D28D8"/>
    <w:rsid w:val="004D41D1"/>
    <w:rsid w:val="004E0440"/>
    <w:rsid w:val="004E460D"/>
    <w:rsid w:val="004F08C7"/>
    <w:rsid w:val="00501B2E"/>
    <w:rsid w:val="0050652E"/>
    <w:rsid w:val="005079B6"/>
    <w:rsid w:val="00540B0F"/>
    <w:rsid w:val="00560454"/>
    <w:rsid w:val="00563040"/>
    <w:rsid w:val="00565DD1"/>
    <w:rsid w:val="0059254F"/>
    <w:rsid w:val="005950DA"/>
    <w:rsid w:val="005A3388"/>
    <w:rsid w:val="005C39CD"/>
    <w:rsid w:val="005C5CC9"/>
    <w:rsid w:val="005D3174"/>
    <w:rsid w:val="005E5BA8"/>
    <w:rsid w:val="00600398"/>
    <w:rsid w:val="0060247C"/>
    <w:rsid w:val="00604320"/>
    <w:rsid w:val="006058EC"/>
    <w:rsid w:val="00621E8E"/>
    <w:rsid w:val="00650F0C"/>
    <w:rsid w:val="00652479"/>
    <w:rsid w:val="0065511D"/>
    <w:rsid w:val="006606EA"/>
    <w:rsid w:val="006610C6"/>
    <w:rsid w:val="00661460"/>
    <w:rsid w:val="00681FB4"/>
    <w:rsid w:val="00682639"/>
    <w:rsid w:val="006C2BD1"/>
    <w:rsid w:val="006E7579"/>
    <w:rsid w:val="006F19C6"/>
    <w:rsid w:val="0070600C"/>
    <w:rsid w:val="0070692E"/>
    <w:rsid w:val="00726A18"/>
    <w:rsid w:val="00742DEC"/>
    <w:rsid w:val="00760D64"/>
    <w:rsid w:val="00772293"/>
    <w:rsid w:val="00775512"/>
    <w:rsid w:val="007A1E06"/>
    <w:rsid w:val="007D2D14"/>
    <w:rsid w:val="007D4EAA"/>
    <w:rsid w:val="007E029B"/>
    <w:rsid w:val="007E2C90"/>
    <w:rsid w:val="007E4834"/>
    <w:rsid w:val="007E62D9"/>
    <w:rsid w:val="007E69D5"/>
    <w:rsid w:val="007F0643"/>
    <w:rsid w:val="007F53BC"/>
    <w:rsid w:val="00817797"/>
    <w:rsid w:val="00821B41"/>
    <w:rsid w:val="00830D6A"/>
    <w:rsid w:val="008476CA"/>
    <w:rsid w:val="00850767"/>
    <w:rsid w:val="00874083"/>
    <w:rsid w:val="00876103"/>
    <w:rsid w:val="0088121A"/>
    <w:rsid w:val="00886784"/>
    <w:rsid w:val="008966E5"/>
    <w:rsid w:val="008A494C"/>
    <w:rsid w:val="008B4A57"/>
    <w:rsid w:val="008C05F3"/>
    <w:rsid w:val="008C3F57"/>
    <w:rsid w:val="008E05C2"/>
    <w:rsid w:val="008F2CBF"/>
    <w:rsid w:val="008F50DF"/>
    <w:rsid w:val="00940214"/>
    <w:rsid w:val="00943D19"/>
    <w:rsid w:val="00953180"/>
    <w:rsid w:val="00954450"/>
    <w:rsid w:val="00963640"/>
    <w:rsid w:val="0097512A"/>
    <w:rsid w:val="00976959"/>
    <w:rsid w:val="00977983"/>
    <w:rsid w:val="00982394"/>
    <w:rsid w:val="009824C0"/>
    <w:rsid w:val="0099041E"/>
    <w:rsid w:val="00990FD4"/>
    <w:rsid w:val="0099737F"/>
    <w:rsid w:val="009A7A1E"/>
    <w:rsid w:val="009B0E1E"/>
    <w:rsid w:val="009B20C1"/>
    <w:rsid w:val="009C3A78"/>
    <w:rsid w:val="009C6FED"/>
    <w:rsid w:val="009D2AE1"/>
    <w:rsid w:val="00A026B3"/>
    <w:rsid w:val="00A32178"/>
    <w:rsid w:val="00A34929"/>
    <w:rsid w:val="00A44F87"/>
    <w:rsid w:val="00A70745"/>
    <w:rsid w:val="00A71F08"/>
    <w:rsid w:val="00A732C0"/>
    <w:rsid w:val="00A75D21"/>
    <w:rsid w:val="00A8708C"/>
    <w:rsid w:val="00AA2BE7"/>
    <w:rsid w:val="00AA7CBE"/>
    <w:rsid w:val="00AB48A2"/>
    <w:rsid w:val="00AB4B28"/>
    <w:rsid w:val="00AB5DEF"/>
    <w:rsid w:val="00AE1B96"/>
    <w:rsid w:val="00AE20DD"/>
    <w:rsid w:val="00AF2C2A"/>
    <w:rsid w:val="00AF4AE2"/>
    <w:rsid w:val="00B04748"/>
    <w:rsid w:val="00B07633"/>
    <w:rsid w:val="00B1151A"/>
    <w:rsid w:val="00B24826"/>
    <w:rsid w:val="00B346A5"/>
    <w:rsid w:val="00B40CF2"/>
    <w:rsid w:val="00B51875"/>
    <w:rsid w:val="00B53F48"/>
    <w:rsid w:val="00B648B6"/>
    <w:rsid w:val="00B829AF"/>
    <w:rsid w:val="00B94737"/>
    <w:rsid w:val="00BA0CF2"/>
    <w:rsid w:val="00BA5132"/>
    <w:rsid w:val="00BC7CC8"/>
    <w:rsid w:val="00BE5310"/>
    <w:rsid w:val="00BE5469"/>
    <w:rsid w:val="00C13676"/>
    <w:rsid w:val="00C3392E"/>
    <w:rsid w:val="00C43A19"/>
    <w:rsid w:val="00C71F57"/>
    <w:rsid w:val="00C86777"/>
    <w:rsid w:val="00C902A0"/>
    <w:rsid w:val="00C946AA"/>
    <w:rsid w:val="00CB26A3"/>
    <w:rsid w:val="00CD5CC8"/>
    <w:rsid w:val="00CE3135"/>
    <w:rsid w:val="00D04362"/>
    <w:rsid w:val="00D1615E"/>
    <w:rsid w:val="00D2504C"/>
    <w:rsid w:val="00D3074B"/>
    <w:rsid w:val="00D333E7"/>
    <w:rsid w:val="00D54724"/>
    <w:rsid w:val="00D57DB0"/>
    <w:rsid w:val="00D639E8"/>
    <w:rsid w:val="00D64B3F"/>
    <w:rsid w:val="00D77459"/>
    <w:rsid w:val="00D95E67"/>
    <w:rsid w:val="00D963B2"/>
    <w:rsid w:val="00DA225C"/>
    <w:rsid w:val="00DA4C76"/>
    <w:rsid w:val="00DC45F4"/>
    <w:rsid w:val="00DC55F0"/>
    <w:rsid w:val="00DD1961"/>
    <w:rsid w:val="00DD4806"/>
    <w:rsid w:val="00DE1709"/>
    <w:rsid w:val="00DE2C8D"/>
    <w:rsid w:val="00DF2F06"/>
    <w:rsid w:val="00E06022"/>
    <w:rsid w:val="00E14D2A"/>
    <w:rsid w:val="00E4259E"/>
    <w:rsid w:val="00E43DC1"/>
    <w:rsid w:val="00E454EB"/>
    <w:rsid w:val="00E63396"/>
    <w:rsid w:val="00E66A9F"/>
    <w:rsid w:val="00E85B1F"/>
    <w:rsid w:val="00E85DB0"/>
    <w:rsid w:val="00EA1AF2"/>
    <w:rsid w:val="00EA304A"/>
    <w:rsid w:val="00EA4053"/>
    <w:rsid w:val="00EB59D3"/>
    <w:rsid w:val="00EC5741"/>
    <w:rsid w:val="00EE4F33"/>
    <w:rsid w:val="00EE56FA"/>
    <w:rsid w:val="00EF6054"/>
    <w:rsid w:val="00F00CEE"/>
    <w:rsid w:val="00F02355"/>
    <w:rsid w:val="00F05752"/>
    <w:rsid w:val="00F257BB"/>
    <w:rsid w:val="00F506C4"/>
    <w:rsid w:val="00F73B10"/>
    <w:rsid w:val="00F74BC1"/>
    <w:rsid w:val="00F757EC"/>
    <w:rsid w:val="00F76474"/>
    <w:rsid w:val="00F87A82"/>
    <w:rsid w:val="00F9329E"/>
    <w:rsid w:val="00FA1B5A"/>
    <w:rsid w:val="00FB53EA"/>
    <w:rsid w:val="00FC4085"/>
    <w:rsid w:val="00FC78FA"/>
    <w:rsid w:val="00FD0C00"/>
    <w:rsid w:val="00FD7F32"/>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2153"/>
  <w15:chartTrackingRefBased/>
  <w15:docId w15:val="{855B24A7-60BD-4196-9815-705AF2B6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93F"/>
    <w:pPr>
      <w:ind w:left="720"/>
      <w:contextualSpacing/>
    </w:pPr>
  </w:style>
  <w:style w:type="paragraph" w:styleId="Header">
    <w:name w:val="header"/>
    <w:basedOn w:val="Normal"/>
    <w:link w:val="HeaderChar"/>
    <w:uiPriority w:val="99"/>
    <w:unhideWhenUsed/>
    <w:rsid w:val="000E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9D"/>
  </w:style>
  <w:style w:type="paragraph" w:styleId="Footer">
    <w:name w:val="footer"/>
    <w:basedOn w:val="Normal"/>
    <w:link w:val="FooterChar"/>
    <w:uiPriority w:val="99"/>
    <w:unhideWhenUsed/>
    <w:rsid w:val="000E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9D"/>
  </w:style>
  <w:style w:type="character" w:styleId="Hyperlink">
    <w:name w:val="Hyperlink"/>
    <w:basedOn w:val="DefaultParagraphFont"/>
    <w:uiPriority w:val="99"/>
    <w:semiHidden/>
    <w:unhideWhenUsed/>
    <w:rsid w:val="00251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4</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Bracamonte</dc:creator>
  <cp:keywords/>
  <dc:description/>
  <cp:lastModifiedBy>Sorg, Abbie</cp:lastModifiedBy>
  <cp:revision>7</cp:revision>
  <dcterms:created xsi:type="dcterms:W3CDTF">2020-01-30T20:47:00Z</dcterms:created>
  <dcterms:modified xsi:type="dcterms:W3CDTF">2020-01-31T19:45:00Z</dcterms:modified>
</cp:coreProperties>
</file>