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BA9E" w14:textId="77777777" w:rsidR="00D84B34" w:rsidRDefault="00D84B34" w:rsidP="00D84B34">
      <w:pPr>
        <w:rPr>
          <w:color w:val="000000" w:themeColor="text1"/>
        </w:rPr>
      </w:pPr>
      <w:bookmarkStart w:id="0" w:name="_GoBack"/>
      <w:bookmarkEnd w:id="0"/>
    </w:p>
    <w:p w14:paraId="3D9BF306" w14:textId="77777777" w:rsidR="00D84B34" w:rsidRDefault="00D84B34" w:rsidP="00D84B34">
      <w:pPr>
        <w:rPr>
          <w:b/>
          <w:color w:val="000000" w:themeColor="text1"/>
        </w:rPr>
      </w:pPr>
      <w:r w:rsidRPr="00CB011D">
        <w:rPr>
          <w:b/>
          <w:color w:val="000000" w:themeColor="text1"/>
        </w:rPr>
        <w:t>To: Undergraduate Council’s – Curriculum/Policies Subcommittee</w:t>
      </w:r>
    </w:p>
    <w:p w14:paraId="22C70CCA" w14:textId="09FD23EF" w:rsidR="00D84B34" w:rsidRDefault="00D84B34" w:rsidP="00D84B34">
      <w:pPr>
        <w:rPr>
          <w:color w:val="000000" w:themeColor="text1"/>
        </w:rPr>
      </w:pPr>
      <w:r>
        <w:rPr>
          <w:color w:val="000000" w:themeColor="text1"/>
        </w:rPr>
        <w:t xml:space="preserve">From: </w:t>
      </w:r>
      <w:r w:rsidR="00DB03C9">
        <w:rPr>
          <w:color w:val="000000" w:themeColor="text1"/>
        </w:rPr>
        <w:t>Brent White, Vice Provost for Global Affairs</w:t>
      </w:r>
    </w:p>
    <w:p w14:paraId="49427288" w14:textId="26AD4D97" w:rsidR="00D84B34" w:rsidRDefault="00D84B34" w:rsidP="00D84B3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Re: Recommendation </w:t>
      </w:r>
      <w:r w:rsidR="00DB03C9">
        <w:rPr>
          <w:b/>
          <w:color w:val="000000" w:themeColor="text1"/>
        </w:rPr>
        <w:t xml:space="preserve">to accept CESL English Proficiency Test (CEPT) for </w:t>
      </w:r>
      <w:r w:rsidR="00B84636">
        <w:rPr>
          <w:b/>
          <w:color w:val="000000" w:themeColor="text1"/>
        </w:rPr>
        <w:t xml:space="preserve">undergraduate </w:t>
      </w:r>
      <w:r w:rsidR="00DB03C9">
        <w:rPr>
          <w:b/>
          <w:color w:val="000000" w:themeColor="text1"/>
        </w:rPr>
        <w:t>admission</w:t>
      </w:r>
    </w:p>
    <w:p w14:paraId="15309A62" w14:textId="7E616638" w:rsidR="00D84B34" w:rsidRDefault="00CB011D" w:rsidP="00D84B34">
      <w:pPr>
        <w:rPr>
          <w:color w:val="000000" w:themeColor="text1"/>
        </w:rPr>
      </w:pPr>
      <w:r>
        <w:rPr>
          <w:color w:val="000000" w:themeColor="text1"/>
        </w:rPr>
        <w:t>August 27, 2019</w:t>
      </w:r>
    </w:p>
    <w:p w14:paraId="323AA8F1" w14:textId="0F6FF966" w:rsidR="00030407" w:rsidRDefault="00030407" w:rsidP="00D84B34">
      <w:pPr>
        <w:rPr>
          <w:color w:val="000000" w:themeColor="text1"/>
        </w:rPr>
      </w:pPr>
    </w:p>
    <w:p w14:paraId="55BF7B58" w14:textId="37EEF333" w:rsidR="00030407" w:rsidRDefault="00B47383" w:rsidP="00D84B34">
      <w:pPr>
        <w:rPr>
          <w:color w:val="000000" w:themeColor="text1"/>
        </w:rPr>
      </w:pPr>
      <w:r>
        <w:rPr>
          <w:color w:val="000000" w:themeColor="text1"/>
        </w:rPr>
        <w:t xml:space="preserve">Based on the below information, I request that the CESL CEPT Full Academic Test be accepted for UA undergraduate admission as an option for verifying English language proficiency.  </w:t>
      </w:r>
    </w:p>
    <w:p w14:paraId="2608D460" w14:textId="77777777" w:rsidR="00B47383" w:rsidRDefault="00B47383" w:rsidP="00D84B34">
      <w:pPr>
        <w:rPr>
          <w:color w:val="000000" w:themeColor="text1"/>
        </w:rPr>
      </w:pPr>
    </w:p>
    <w:p w14:paraId="7E5043AF" w14:textId="3E6A6E89" w:rsidR="00D87D2D" w:rsidRDefault="00D87D2D" w:rsidP="00D87D2D">
      <w:r>
        <w:t xml:space="preserve">In 2018, </w:t>
      </w:r>
      <w:r w:rsidR="00030407">
        <w:t>the UA Center for English as a Second Language (</w:t>
      </w:r>
      <w:r>
        <w:t>CESL</w:t>
      </w:r>
      <w:r w:rsidR="00030407">
        <w:t>)</w:t>
      </w:r>
      <w:r>
        <w:t xml:space="preserve"> developed the CESL English Proficiency Test (CEPT) – Full Academic test version. Since the fall of 2018, CESL has successfully used the CEPT Full Academic to test potential UA students in such places as Saudi Arabia, Turkey, </w:t>
      </w:r>
      <w:r w:rsidR="00DA474C">
        <w:t>Jordan</w:t>
      </w:r>
      <w:r>
        <w:t>, as well as here in the United States. The long</w:t>
      </w:r>
      <w:r w:rsidR="00EB55EA">
        <w:t>itudinal</w:t>
      </w:r>
      <w:r>
        <w:t xml:space="preserve"> test development (including piloting) and administration refinement period prior to beginning to use the test in 2018 gives CESL confidence to assert that the CEPT Full Academic test is a valid, reliable, secure, and practical test of English competence that can be used for the purposes of UA undergraduate admissions. It is a fully functional alternative to the other commercial tests on the market</w:t>
      </w:r>
      <w:r w:rsidR="00EB55EA">
        <w:t xml:space="preserve"> with greater accessibility and less expense for the student candidate.  </w:t>
      </w:r>
    </w:p>
    <w:p w14:paraId="1E5B7534" w14:textId="5A300370" w:rsidR="00B91786" w:rsidRDefault="00B91786" w:rsidP="00B91786">
      <w:r>
        <w:t xml:space="preserve">The CEPT Full Academic is scored out of 150 points, with 50 points available for each section (Reading/ Writing, Speaking). The table below shows the different test scores for the three main English proficiency tests align with the CEFR, as well as how CEPT scoring aligns with a B2 (Very Independent) English proficiency level, and above.  </w:t>
      </w:r>
    </w:p>
    <w:p w14:paraId="7F00BAB9" w14:textId="77777777" w:rsidR="00D95863" w:rsidRDefault="00D95863" w:rsidP="00B91786"/>
    <w:p w14:paraId="45A56E16" w14:textId="25A92068" w:rsidR="004448FB" w:rsidRPr="009375E0" w:rsidRDefault="00B91786" w:rsidP="004448FB">
      <w:pPr>
        <w:spacing w:line="240" w:lineRule="auto"/>
        <w:rPr>
          <w:rFonts w:ascii="Arial" w:hAnsi="Arial" w:cs="Arial"/>
          <w:b/>
        </w:rPr>
      </w:pPr>
      <w:r>
        <w:t xml:space="preserve"> </w:t>
      </w:r>
      <w:r w:rsidR="004448FB" w:rsidRPr="009375E0">
        <w:rPr>
          <w:rFonts w:ascii="Arial" w:hAnsi="Arial" w:cs="Arial"/>
          <w:b/>
        </w:rPr>
        <w:t>CEPT Score Comparison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1850"/>
        <w:gridCol w:w="1739"/>
        <w:gridCol w:w="1394"/>
        <w:gridCol w:w="1337"/>
        <w:gridCol w:w="1564"/>
      </w:tblGrid>
      <w:tr w:rsidR="004448FB" w:rsidRPr="009375E0" w14:paraId="39193BA9" w14:textId="77777777" w:rsidTr="004448FB">
        <w:trPr>
          <w:trHeight w:val="824"/>
        </w:trPr>
        <w:tc>
          <w:tcPr>
            <w:tcW w:w="1466" w:type="dxa"/>
            <w:shd w:val="clear" w:color="auto" w:fill="auto"/>
          </w:tcPr>
          <w:p w14:paraId="32ECC2D6" w14:textId="77777777" w:rsidR="004448FB" w:rsidRPr="004448FB" w:rsidRDefault="004448FB" w:rsidP="007A78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0" w:type="dxa"/>
            <w:shd w:val="clear" w:color="auto" w:fill="C5E0B3" w:themeFill="accent6" w:themeFillTint="66"/>
          </w:tcPr>
          <w:p w14:paraId="767D1CBA" w14:textId="4BE8896C" w:rsidR="004448FB" w:rsidRPr="009375E0" w:rsidRDefault="004448FB" w:rsidP="007A7822">
            <w:pPr>
              <w:jc w:val="center"/>
              <w:rPr>
                <w:rFonts w:ascii="Arial" w:hAnsi="Arial" w:cs="Arial"/>
                <w:b/>
              </w:rPr>
            </w:pPr>
            <w:r w:rsidRPr="009375E0">
              <w:rPr>
                <w:rFonts w:ascii="Arial" w:hAnsi="Arial" w:cs="Arial"/>
                <w:b/>
              </w:rPr>
              <w:t xml:space="preserve">CEPT Full Academic 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38C40A80" w14:textId="43204A7E" w:rsidR="004448FB" w:rsidRPr="009375E0" w:rsidRDefault="0097356B" w:rsidP="007A78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4448FB" w:rsidRPr="009375E0">
              <w:rPr>
                <w:rFonts w:ascii="Arial" w:hAnsi="Arial" w:cs="Arial"/>
                <w:b/>
              </w:rPr>
              <w:t>CEFR</w:t>
            </w:r>
          </w:p>
          <w:p w14:paraId="53D39EF3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</w:rPr>
            </w:pPr>
            <w:r w:rsidRPr="009375E0">
              <w:rPr>
                <w:rFonts w:ascii="Arial" w:hAnsi="Arial" w:cs="Arial"/>
                <w:b/>
              </w:rPr>
              <w:t>Proficiency Levels</w:t>
            </w:r>
          </w:p>
        </w:tc>
        <w:tc>
          <w:tcPr>
            <w:tcW w:w="1394" w:type="dxa"/>
            <w:shd w:val="clear" w:color="auto" w:fill="auto"/>
          </w:tcPr>
          <w:p w14:paraId="7885B0EF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</w:rPr>
            </w:pPr>
            <w:r w:rsidRPr="009375E0">
              <w:rPr>
                <w:rFonts w:ascii="Arial" w:hAnsi="Arial" w:cs="Arial"/>
                <w:b/>
              </w:rPr>
              <w:t xml:space="preserve">TOEFL </w:t>
            </w:r>
            <w:proofErr w:type="spellStart"/>
            <w:r w:rsidRPr="009375E0">
              <w:rPr>
                <w:rFonts w:ascii="Arial" w:hAnsi="Arial" w:cs="Arial"/>
                <w:b/>
              </w:rPr>
              <w:t>iBT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14:paraId="3BE1A6CD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</w:rPr>
            </w:pPr>
            <w:r w:rsidRPr="009375E0">
              <w:rPr>
                <w:rFonts w:ascii="Arial" w:hAnsi="Arial" w:cs="Arial"/>
                <w:b/>
              </w:rPr>
              <w:t>IELTS</w:t>
            </w:r>
          </w:p>
        </w:tc>
        <w:tc>
          <w:tcPr>
            <w:tcW w:w="1564" w:type="dxa"/>
            <w:shd w:val="clear" w:color="auto" w:fill="auto"/>
          </w:tcPr>
          <w:p w14:paraId="5AC8E88D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</w:rPr>
            </w:pPr>
            <w:r w:rsidRPr="009375E0">
              <w:rPr>
                <w:rFonts w:ascii="Arial" w:hAnsi="Arial" w:cs="Arial"/>
                <w:b/>
              </w:rPr>
              <w:t>Pearson</w:t>
            </w:r>
          </w:p>
          <w:p w14:paraId="688E6082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  <w:b/>
              </w:rPr>
              <w:t>PTE Academic</w:t>
            </w:r>
          </w:p>
        </w:tc>
      </w:tr>
      <w:tr w:rsidR="004448FB" w:rsidRPr="009375E0" w14:paraId="275E14A6" w14:textId="77777777" w:rsidTr="004448FB">
        <w:trPr>
          <w:trHeight w:val="451"/>
        </w:trPr>
        <w:tc>
          <w:tcPr>
            <w:tcW w:w="1466" w:type="dxa"/>
            <w:shd w:val="clear" w:color="auto" w:fill="auto"/>
          </w:tcPr>
          <w:p w14:paraId="27D15532" w14:textId="77777777" w:rsidR="004448FB" w:rsidRPr="004448FB" w:rsidRDefault="004448FB" w:rsidP="007A782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50" w:type="dxa"/>
            <w:shd w:val="clear" w:color="auto" w:fill="auto"/>
          </w:tcPr>
          <w:p w14:paraId="18129378" w14:textId="3FFB53F9" w:rsidR="004448FB" w:rsidRPr="009375E0" w:rsidRDefault="004448FB" w:rsidP="007A7822">
            <w:pPr>
              <w:jc w:val="center"/>
              <w:rPr>
                <w:rFonts w:ascii="Arial" w:hAnsi="Arial" w:cs="Arial"/>
                <w:i/>
              </w:rPr>
            </w:pPr>
            <w:r w:rsidRPr="009375E0">
              <w:rPr>
                <w:rFonts w:ascii="Arial" w:hAnsi="Arial" w:cs="Arial"/>
                <w:i/>
              </w:rPr>
              <w:t>145-150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1BB02A9A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75E0">
              <w:rPr>
                <w:rFonts w:ascii="Arial" w:hAnsi="Arial" w:cs="Arial"/>
                <w:b/>
                <w:sz w:val="24"/>
              </w:rPr>
              <w:t>C2</w:t>
            </w:r>
          </w:p>
        </w:tc>
        <w:tc>
          <w:tcPr>
            <w:tcW w:w="1394" w:type="dxa"/>
            <w:shd w:val="clear" w:color="auto" w:fill="auto"/>
          </w:tcPr>
          <w:p w14:paraId="505F1EC6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96-120</w:t>
            </w:r>
          </w:p>
        </w:tc>
        <w:tc>
          <w:tcPr>
            <w:tcW w:w="1337" w:type="dxa"/>
            <w:shd w:val="clear" w:color="auto" w:fill="auto"/>
          </w:tcPr>
          <w:p w14:paraId="6C2C810C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8.0-9.0</w:t>
            </w:r>
          </w:p>
        </w:tc>
        <w:tc>
          <w:tcPr>
            <w:tcW w:w="1564" w:type="dxa"/>
            <w:shd w:val="clear" w:color="auto" w:fill="auto"/>
          </w:tcPr>
          <w:p w14:paraId="025F9184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85-90</w:t>
            </w:r>
          </w:p>
        </w:tc>
      </w:tr>
      <w:tr w:rsidR="004448FB" w:rsidRPr="009375E0" w14:paraId="3380787E" w14:textId="77777777" w:rsidTr="004448FB">
        <w:trPr>
          <w:trHeight w:val="451"/>
        </w:trPr>
        <w:tc>
          <w:tcPr>
            <w:tcW w:w="1466" w:type="dxa"/>
            <w:shd w:val="clear" w:color="auto" w:fill="auto"/>
          </w:tcPr>
          <w:p w14:paraId="2C33FFDD" w14:textId="6C13E6F4" w:rsidR="004448FB" w:rsidRPr="004448FB" w:rsidRDefault="004448FB" w:rsidP="007A7822">
            <w:pPr>
              <w:jc w:val="center"/>
              <w:rPr>
                <w:rFonts w:ascii="Arial" w:hAnsi="Arial" w:cs="Arial"/>
                <w:iCs/>
              </w:rPr>
            </w:pPr>
            <w:r w:rsidRPr="004448FB">
              <w:rPr>
                <w:rFonts w:ascii="Arial" w:hAnsi="Arial" w:cs="Arial"/>
                <w:iCs/>
              </w:rPr>
              <w:t>UA Grad College</w:t>
            </w:r>
          </w:p>
        </w:tc>
        <w:tc>
          <w:tcPr>
            <w:tcW w:w="1850" w:type="dxa"/>
            <w:shd w:val="clear" w:color="auto" w:fill="auto"/>
          </w:tcPr>
          <w:p w14:paraId="5F4AF7C7" w14:textId="24BE1B8F" w:rsidR="004448FB" w:rsidRPr="009375E0" w:rsidRDefault="004448FB" w:rsidP="007A7822">
            <w:pPr>
              <w:jc w:val="center"/>
              <w:rPr>
                <w:rFonts w:ascii="Arial" w:hAnsi="Arial" w:cs="Arial"/>
                <w:i/>
              </w:rPr>
            </w:pPr>
            <w:r w:rsidRPr="009375E0">
              <w:rPr>
                <w:rFonts w:ascii="Arial" w:hAnsi="Arial" w:cs="Arial"/>
                <w:i/>
              </w:rPr>
              <w:t>135-144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5A10651C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75E0">
              <w:rPr>
                <w:rFonts w:ascii="Arial" w:hAnsi="Arial" w:cs="Arial"/>
                <w:b/>
                <w:sz w:val="24"/>
              </w:rPr>
              <w:t>C1</w:t>
            </w:r>
          </w:p>
        </w:tc>
        <w:tc>
          <w:tcPr>
            <w:tcW w:w="1394" w:type="dxa"/>
            <w:shd w:val="clear" w:color="auto" w:fill="auto"/>
          </w:tcPr>
          <w:p w14:paraId="4203B884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80-95</w:t>
            </w:r>
          </w:p>
        </w:tc>
        <w:tc>
          <w:tcPr>
            <w:tcW w:w="1337" w:type="dxa"/>
            <w:shd w:val="clear" w:color="auto" w:fill="auto"/>
          </w:tcPr>
          <w:p w14:paraId="23CA7586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6.6-7.9</w:t>
            </w:r>
          </w:p>
        </w:tc>
        <w:tc>
          <w:tcPr>
            <w:tcW w:w="1564" w:type="dxa"/>
            <w:shd w:val="clear" w:color="auto" w:fill="auto"/>
          </w:tcPr>
          <w:p w14:paraId="290B59CB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76-84</w:t>
            </w:r>
          </w:p>
        </w:tc>
      </w:tr>
      <w:tr w:rsidR="004448FB" w:rsidRPr="009375E0" w14:paraId="354EE482" w14:textId="77777777" w:rsidTr="004448FB">
        <w:trPr>
          <w:trHeight w:val="451"/>
        </w:trPr>
        <w:tc>
          <w:tcPr>
            <w:tcW w:w="1466" w:type="dxa"/>
            <w:shd w:val="clear" w:color="auto" w:fill="auto"/>
          </w:tcPr>
          <w:p w14:paraId="221900EF" w14:textId="1B25F9CD" w:rsidR="004448FB" w:rsidRPr="004448FB" w:rsidRDefault="004448FB" w:rsidP="007A782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**</w:t>
            </w:r>
            <w:r w:rsidRPr="004448FB">
              <w:rPr>
                <w:rFonts w:ascii="Arial" w:hAnsi="Arial" w:cs="Arial"/>
                <w:i/>
              </w:rPr>
              <w:t>Proposed UA UG Level</w:t>
            </w:r>
          </w:p>
        </w:tc>
        <w:tc>
          <w:tcPr>
            <w:tcW w:w="1850" w:type="dxa"/>
            <w:shd w:val="clear" w:color="auto" w:fill="F7CAAC" w:themeFill="accent2" w:themeFillTint="66"/>
          </w:tcPr>
          <w:p w14:paraId="629B5901" w14:textId="61EB7CA0" w:rsidR="004448FB" w:rsidRPr="009375E0" w:rsidRDefault="004448FB" w:rsidP="007A7822">
            <w:pPr>
              <w:jc w:val="center"/>
              <w:rPr>
                <w:rFonts w:ascii="Arial" w:hAnsi="Arial" w:cs="Arial"/>
                <w:i/>
              </w:rPr>
            </w:pPr>
            <w:r w:rsidRPr="009375E0">
              <w:rPr>
                <w:rFonts w:ascii="Arial" w:hAnsi="Arial" w:cs="Arial"/>
                <w:i/>
              </w:rPr>
              <w:t>105-134</w:t>
            </w:r>
          </w:p>
        </w:tc>
        <w:tc>
          <w:tcPr>
            <w:tcW w:w="1739" w:type="dxa"/>
            <w:shd w:val="clear" w:color="auto" w:fill="BDD6EE" w:themeFill="accent5" w:themeFillTint="66"/>
          </w:tcPr>
          <w:p w14:paraId="7CB27664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75E0">
              <w:rPr>
                <w:rFonts w:ascii="Arial" w:hAnsi="Arial" w:cs="Arial"/>
                <w:b/>
                <w:sz w:val="24"/>
              </w:rPr>
              <w:t>B2</w:t>
            </w:r>
          </w:p>
        </w:tc>
        <w:tc>
          <w:tcPr>
            <w:tcW w:w="1394" w:type="dxa"/>
            <w:shd w:val="clear" w:color="auto" w:fill="DEEAF6" w:themeFill="accent5" w:themeFillTint="33"/>
          </w:tcPr>
          <w:p w14:paraId="6574E445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70-79</w:t>
            </w:r>
          </w:p>
        </w:tc>
        <w:tc>
          <w:tcPr>
            <w:tcW w:w="1337" w:type="dxa"/>
            <w:shd w:val="clear" w:color="auto" w:fill="DEEAF6" w:themeFill="accent5" w:themeFillTint="33"/>
          </w:tcPr>
          <w:p w14:paraId="50661457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6.0-6.5</w:t>
            </w:r>
          </w:p>
        </w:tc>
        <w:tc>
          <w:tcPr>
            <w:tcW w:w="1564" w:type="dxa"/>
            <w:shd w:val="clear" w:color="auto" w:fill="DEEAF6" w:themeFill="accent5" w:themeFillTint="33"/>
          </w:tcPr>
          <w:p w14:paraId="77272F4F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65-75</w:t>
            </w:r>
          </w:p>
        </w:tc>
      </w:tr>
    </w:tbl>
    <w:p w14:paraId="2EA11DFA" w14:textId="77777777" w:rsidR="004448FB" w:rsidRPr="009375E0" w:rsidRDefault="004448FB" w:rsidP="004448FB">
      <w:pPr>
        <w:spacing w:line="240" w:lineRule="auto"/>
        <w:rPr>
          <w:rFonts w:ascii="Arial" w:hAnsi="Arial" w:cs="Arial"/>
        </w:rPr>
      </w:pPr>
    </w:p>
    <w:p w14:paraId="7EBBD362" w14:textId="52BF7017" w:rsidR="00B91786" w:rsidRDefault="00A6303F" w:rsidP="00D87D2D">
      <w:r>
        <w:t>**Comparable current UA Undergraduate English Proficiency Admission</w:t>
      </w:r>
      <w:r w:rsidR="00EE4D62">
        <w:t xml:space="preserve"> score levels</w:t>
      </w:r>
    </w:p>
    <w:p w14:paraId="6FF2BD1B" w14:textId="77777777" w:rsidR="00E41FEF" w:rsidRDefault="00E41FEF" w:rsidP="00D87D2D"/>
    <w:p w14:paraId="36B2AC9C" w14:textId="481F897C" w:rsidR="00D95863" w:rsidRDefault="00D95863" w:rsidP="00D95863">
      <w:r>
        <w:t>Please note, the CEPT has been accepted by the UA Graduate College for admission since 2018.</w:t>
      </w:r>
    </w:p>
    <w:p w14:paraId="4ED7142F" w14:textId="64F4C690" w:rsidR="00D87D2D" w:rsidRDefault="00D95863" w:rsidP="00D87D2D">
      <w:r>
        <w:br w:type="page"/>
      </w:r>
      <w:r w:rsidR="00D87D2D">
        <w:lastRenderedPageBreak/>
        <w:t xml:space="preserve">Below is a summary of the key features of the test. The attached test report provides </w:t>
      </w:r>
      <w:r w:rsidR="006324EF">
        <w:t>expanded</w:t>
      </w:r>
      <w:r w:rsidR="00D87D2D">
        <w:t xml:space="preserve"> </w:t>
      </w:r>
      <w:r w:rsidR="00B91786">
        <w:t xml:space="preserve">supporting </w:t>
      </w:r>
      <w:r w:rsidR="00D87D2D">
        <w:t xml:space="preserve">details.  </w:t>
      </w:r>
    </w:p>
    <w:p w14:paraId="2C2E1B6D" w14:textId="77777777" w:rsidR="00D87D2D" w:rsidRDefault="00D87D2D" w:rsidP="00D87D2D">
      <w:r>
        <w:t xml:space="preserve"> </w:t>
      </w:r>
    </w:p>
    <w:p w14:paraId="70E33F8E" w14:textId="2F545853" w:rsidR="00D87D2D" w:rsidRDefault="00D87D2D" w:rsidP="00D87D2D">
      <w:r w:rsidRPr="00D87D2D">
        <w:rPr>
          <w:b/>
          <w:bCs/>
        </w:rPr>
        <w:t>Components and Administration</w:t>
      </w:r>
      <w:r>
        <w:t xml:space="preserve">: The CEPT Full Academic is comprised of two sub-tests: </w:t>
      </w:r>
    </w:p>
    <w:p w14:paraId="51CD2525" w14:textId="77777777" w:rsidR="006324EF" w:rsidRDefault="006324EF" w:rsidP="00D87D2D"/>
    <w:p w14:paraId="1DA54D31" w14:textId="4573E53C" w:rsidR="00D87D2D" w:rsidRDefault="00D87D2D" w:rsidP="00D87D2D">
      <w:r>
        <w:t xml:space="preserve">1. </w:t>
      </w:r>
      <w:r w:rsidRPr="007A7726">
        <w:rPr>
          <w:b/>
          <w:bCs/>
          <w:i/>
          <w:iCs/>
        </w:rPr>
        <w:t>Academic Skills</w:t>
      </w:r>
      <w:r>
        <w:t xml:space="preserve"> – focused on the key academic skills of </w:t>
      </w:r>
      <w:r w:rsidRPr="007A7726">
        <w:rPr>
          <w:b/>
          <w:bCs/>
        </w:rPr>
        <w:t>Reading and Writing</w:t>
      </w:r>
      <w:r>
        <w:t xml:space="preserve">, with related components assessing </w:t>
      </w:r>
      <w:r w:rsidRPr="007A7726">
        <w:rPr>
          <w:b/>
          <w:bCs/>
        </w:rPr>
        <w:t>vocabulary knowledge</w:t>
      </w:r>
      <w:r>
        <w:t xml:space="preserve">, and </w:t>
      </w:r>
      <w:r w:rsidRPr="007A7726">
        <w:rPr>
          <w:b/>
          <w:bCs/>
        </w:rPr>
        <w:t>grammatical competence</w:t>
      </w:r>
      <w:r>
        <w:t>. The Academic Skills test is computer based</w:t>
      </w:r>
      <w:r w:rsidR="00D95863">
        <w:t xml:space="preserve"> </w:t>
      </w:r>
      <w:r>
        <w:t xml:space="preserve">and takes 90 minutes to complete.  </w:t>
      </w:r>
      <w:r w:rsidR="00D95863">
        <w:t>(Assessing academic skills is critical as we are predicting a student’s ability to successfully use academic English, rather than just general English like other commercial tests).</w:t>
      </w:r>
    </w:p>
    <w:p w14:paraId="698F0C5E" w14:textId="68FDC447" w:rsidR="00D87D2D" w:rsidRDefault="00D87D2D" w:rsidP="00D87D2D">
      <w:r>
        <w:t xml:space="preserve">2. </w:t>
      </w:r>
      <w:r w:rsidRPr="007A7726">
        <w:rPr>
          <w:b/>
          <w:bCs/>
          <w:i/>
          <w:iCs/>
        </w:rPr>
        <w:t>Communication Skills</w:t>
      </w:r>
      <w:r>
        <w:t xml:space="preserve"> – focused on </w:t>
      </w:r>
      <w:r w:rsidRPr="007A7726">
        <w:rPr>
          <w:b/>
          <w:bCs/>
        </w:rPr>
        <w:t>Speaking</w:t>
      </w:r>
      <w:r>
        <w:t>, this real-time online interview assesses the test-taker’s communicative competence, and ability to produce fluent, accurate English in a Q &amp; A format. Listening comprehension is also assessed here, in considering the test-taker’s ability to understand the questions posed</w:t>
      </w:r>
      <w:r w:rsidR="00D95863">
        <w:t xml:space="preserve"> </w:t>
      </w:r>
      <w:r>
        <w:t>and respond appropriately. The Communication Skills test takes approximately 15 minutes and is conducted live online</w:t>
      </w:r>
      <w:r w:rsidR="00D95863">
        <w:t xml:space="preserve"> </w:t>
      </w:r>
      <w:r>
        <w:t xml:space="preserve">with experienced and trained CESL faculty.  </w:t>
      </w:r>
    </w:p>
    <w:p w14:paraId="7452A365" w14:textId="77777777" w:rsidR="006324EF" w:rsidRDefault="006324EF" w:rsidP="00D87D2D"/>
    <w:p w14:paraId="71296836" w14:textId="01CB5085" w:rsidR="00D87D2D" w:rsidRDefault="00D87D2D" w:rsidP="00D87D2D">
      <w:pPr>
        <w:rPr>
          <w:i/>
          <w:iCs/>
        </w:rPr>
      </w:pPr>
      <w:r w:rsidRPr="00D87D2D">
        <w:rPr>
          <w:b/>
          <w:bCs/>
        </w:rPr>
        <w:t>Additional benefits</w:t>
      </w:r>
      <w:r>
        <w:t xml:space="preserve"> to the test </w:t>
      </w:r>
      <w:r w:rsidRPr="00474B80">
        <w:t xml:space="preserve">include </w:t>
      </w:r>
      <w:r w:rsidRPr="007A7726">
        <w:rPr>
          <w:b/>
          <w:bCs/>
          <w:i/>
          <w:iCs/>
        </w:rPr>
        <w:t>test security</w:t>
      </w:r>
      <w:r w:rsidRPr="00474B80">
        <w:t xml:space="preserve"> (including verification of test taker identity in the online interview and the use of UA </w:t>
      </w:r>
      <w:proofErr w:type="spellStart"/>
      <w:r w:rsidRPr="00474B80">
        <w:t>Examity</w:t>
      </w:r>
      <w:proofErr w:type="spellEnd"/>
      <w:r w:rsidRPr="00474B80">
        <w:t>),</w:t>
      </w:r>
      <w:r>
        <w:t xml:space="preserve"> </w:t>
      </w:r>
      <w:r w:rsidRPr="007A7726">
        <w:rPr>
          <w:b/>
          <w:bCs/>
          <w:i/>
          <w:iCs/>
        </w:rPr>
        <w:t>accessibility</w:t>
      </w:r>
      <w:r>
        <w:t xml:space="preserve"> (the test can be taken online on any computer with a stable internet connection, eliminating costly travel needs), </w:t>
      </w:r>
      <w:r w:rsidR="00D95863">
        <w:t xml:space="preserve">both </w:t>
      </w:r>
      <w:r w:rsidR="00D95863" w:rsidRPr="007A7726">
        <w:rPr>
          <w:b/>
          <w:bCs/>
          <w:i/>
          <w:iCs/>
        </w:rPr>
        <w:t xml:space="preserve">availability of test slots and </w:t>
      </w:r>
      <w:r w:rsidR="00474B80" w:rsidRPr="007A7726">
        <w:rPr>
          <w:b/>
          <w:bCs/>
          <w:i/>
          <w:iCs/>
        </w:rPr>
        <w:t xml:space="preserve">time for results </w:t>
      </w:r>
      <w:r w:rsidR="00474B80">
        <w:t>is also dramatically reduced  to just one week for CEPT</w:t>
      </w:r>
      <w:r w:rsidR="00D95863">
        <w:t xml:space="preserve"> (compared to weeks or months in some locations abroad)</w:t>
      </w:r>
      <w:r w:rsidR="00474B80">
        <w:t xml:space="preserve">, </w:t>
      </w:r>
      <w:r>
        <w:t xml:space="preserve">and </w:t>
      </w:r>
      <w:r w:rsidRPr="007A7726">
        <w:rPr>
          <w:b/>
          <w:bCs/>
          <w:i/>
          <w:iCs/>
        </w:rPr>
        <w:t xml:space="preserve">cost </w:t>
      </w:r>
      <w:r w:rsidRPr="00474B80">
        <w:rPr>
          <w:i/>
          <w:iCs/>
        </w:rPr>
        <w:t xml:space="preserve">(at $120 </w:t>
      </w:r>
      <w:r w:rsidR="00B91786" w:rsidRPr="00474B80">
        <w:rPr>
          <w:i/>
          <w:iCs/>
        </w:rPr>
        <w:t>this beats other commercial tests</w:t>
      </w:r>
      <w:r w:rsidR="00474B80" w:rsidRPr="00474B80">
        <w:rPr>
          <w:i/>
          <w:iCs/>
        </w:rPr>
        <w:t xml:space="preserve"> at $190 or $250</w:t>
      </w:r>
      <w:r w:rsidR="00B91786" w:rsidRPr="00474B80">
        <w:rPr>
          <w:i/>
          <w:iCs/>
        </w:rPr>
        <w:t>).</w:t>
      </w:r>
    </w:p>
    <w:p w14:paraId="6FDC9D1C" w14:textId="7D842E1C" w:rsidR="0097356B" w:rsidRDefault="0097356B" w:rsidP="00D87D2D">
      <w:pPr>
        <w:rPr>
          <w:i/>
          <w:iCs/>
        </w:rPr>
      </w:pPr>
    </w:p>
    <w:p w14:paraId="52E9F184" w14:textId="73E32CD7" w:rsidR="0097356B" w:rsidRDefault="0097356B" w:rsidP="00D87D2D">
      <w:pPr>
        <w:pBdr>
          <w:bottom w:val="single" w:sz="6" w:space="1" w:color="auto"/>
        </w:pBdr>
        <w:rPr>
          <w:i/>
          <w:iCs/>
        </w:rPr>
      </w:pPr>
    </w:p>
    <w:p w14:paraId="19B89A8F" w14:textId="2B8908B8" w:rsidR="0097356B" w:rsidRDefault="0097356B" w:rsidP="00D87D2D">
      <w:pPr>
        <w:rPr>
          <w:iCs/>
        </w:rPr>
      </w:pPr>
      <w:r>
        <w:rPr>
          <w:b/>
          <w:iCs/>
        </w:rPr>
        <w:t>*</w:t>
      </w:r>
      <w:r w:rsidRPr="0097356B">
        <w:rPr>
          <w:b/>
          <w:iCs/>
        </w:rPr>
        <w:t>CEFR</w:t>
      </w:r>
      <w:r>
        <w:rPr>
          <w:iCs/>
        </w:rPr>
        <w:t>: Common European Framework of Reference for Languages (Council of Europe):</w:t>
      </w:r>
    </w:p>
    <w:p w14:paraId="143DC01B" w14:textId="6CA5B120" w:rsidR="00B91786" w:rsidRPr="0097356B" w:rsidRDefault="0097356B" w:rsidP="00D87D2D">
      <w:pPr>
        <w:rPr>
          <w:iCs/>
        </w:rPr>
      </w:pPr>
      <w:r>
        <w:rPr>
          <w:noProof/>
        </w:rPr>
        <w:drawing>
          <wp:inline distT="0" distB="0" distL="0" distR="0" wp14:anchorId="1A378978" wp14:editId="6FDDBA90">
            <wp:extent cx="5943600" cy="2388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786" w:rsidRPr="0097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2D"/>
    <w:rsid w:val="00030407"/>
    <w:rsid w:val="004448FB"/>
    <w:rsid w:val="00474B80"/>
    <w:rsid w:val="006324EF"/>
    <w:rsid w:val="0074416D"/>
    <w:rsid w:val="007A7726"/>
    <w:rsid w:val="0097356B"/>
    <w:rsid w:val="00A6303F"/>
    <w:rsid w:val="00AA4EDB"/>
    <w:rsid w:val="00B47383"/>
    <w:rsid w:val="00B84636"/>
    <w:rsid w:val="00B91786"/>
    <w:rsid w:val="00CB011D"/>
    <w:rsid w:val="00D84B34"/>
    <w:rsid w:val="00D87D2D"/>
    <w:rsid w:val="00D95863"/>
    <w:rsid w:val="00DA474C"/>
    <w:rsid w:val="00DB03C9"/>
    <w:rsid w:val="00E41FEF"/>
    <w:rsid w:val="00E677FD"/>
    <w:rsid w:val="00EB55EA"/>
    <w:rsid w:val="00E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3402"/>
  <w15:chartTrackingRefBased/>
  <w15:docId w15:val="{4F983051-CB01-4109-BB52-E5512B3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73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Panferov</dc:creator>
  <cp:keywords/>
  <dc:description/>
  <cp:lastModifiedBy>Sorg, Abbie</cp:lastModifiedBy>
  <cp:revision>2</cp:revision>
  <dcterms:created xsi:type="dcterms:W3CDTF">2019-11-21T00:22:00Z</dcterms:created>
  <dcterms:modified xsi:type="dcterms:W3CDTF">2019-11-21T00:22:00Z</dcterms:modified>
</cp:coreProperties>
</file>